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C47" w:rsidRDefault="006058C6">
      <w:pPr>
        <w:spacing w:after="442"/>
        <w:ind w:right="175"/>
        <w:jc w:val="right"/>
      </w:pPr>
      <w:bookmarkStart w:id="0" w:name="_GoBack"/>
      <w:bookmarkEnd w:id="0"/>
      <w:r>
        <w:rPr>
          <w:rFonts w:ascii="Times New Roman" w:eastAsia="Times New Roman" w:hAnsi="Times New Roman" w:cs="Times New Roman"/>
          <w:color w:val="181717"/>
          <w:sz w:val="20"/>
        </w:rPr>
        <w:t>Ann Ig. Nov-Dec 2023; 35(6): 707-714   doi: 10.7416/ai.2023.2577. Epub 2023 Jul 24.</w:t>
      </w:r>
    </w:p>
    <w:p w:rsidR="00F04C47" w:rsidRDefault="006058C6">
      <w:pPr>
        <w:spacing w:after="8" w:line="254" w:lineRule="auto"/>
        <w:ind w:left="-5" w:hanging="10"/>
      </w:pPr>
      <w:r>
        <w:rPr>
          <w:rFonts w:ascii="Times New Roman" w:eastAsia="Times New Roman" w:hAnsi="Times New Roman" w:cs="Times New Roman"/>
          <w:b/>
          <w:color w:val="181717"/>
          <w:sz w:val="36"/>
        </w:rPr>
        <w:t>The Erice 58 Charter on</w:t>
      </w:r>
    </w:p>
    <w:p w:rsidR="00F04C47" w:rsidRDefault="006058C6">
      <w:pPr>
        <w:spacing w:after="245" w:line="254" w:lineRule="auto"/>
        <w:ind w:left="-5" w:hanging="10"/>
      </w:pPr>
      <w:r>
        <w:rPr>
          <w:rFonts w:ascii="Times New Roman" w:eastAsia="Times New Roman" w:hAnsi="Times New Roman" w:cs="Times New Roman"/>
          <w:b/>
          <w:color w:val="181717"/>
          <w:sz w:val="36"/>
        </w:rPr>
        <w:t>‘The health of migrants. An equity challenge for the public health system’</w:t>
      </w:r>
    </w:p>
    <w:p w:rsidR="00F04C47" w:rsidRDefault="006058C6">
      <w:pPr>
        <w:spacing w:after="4" w:line="266" w:lineRule="auto"/>
        <w:ind w:left="-5" w:right="179" w:hanging="10"/>
        <w:jc w:val="both"/>
      </w:pPr>
      <w:r>
        <w:rPr>
          <w:rFonts w:ascii="Times New Roman" w:eastAsia="Times New Roman" w:hAnsi="Times New Roman" w:cs="Times New Roman"/>
          <w:color w:val="181717"/>
          <w:sz w:val="26"/>
        </w:rPr>
        <w:t>M. Marceca</w:t>
      </w:r>
      <w:r>
        <w:rPr>
          <w:rFonts w:ascii="Times New Roman" w:eastAsia="Times New Roman" w:hAnsi="Times New Roman" w:cs="Times New Roman"/>
          <w:color w:val="181717"/>
          <w:sz w:val="15"/>
        </w:rPr>
        <w:t>1,2,3,14</w:t>
      </w:r>
      <w:r>
        <w:rPr>
          <w:rFonts w:ascii="Times New Roman" w:eastAsia="Times New Roman" w:hAnsi="Times New Roman" w:cs="Times New Roman"/>
          <w:color w:val="181717"/>
          <w:sz w:val="26"/>
        </w:rPr>
        <w:t>, G.M. Fara</w:t>
      </w:r>
      <w:r>
        <w:rPr>
          <w:rFonts w:ascii="Times New Roman" w:eastAsia="Times New Roman" w:hAnsi="Times New Roman" w:cs="Times New Roman"/>
          <w:color w:val="181717"/>
          <w:sz w:val="15"/>
        </w:rPr>
        <w:t>1,2,4,14</w:t>
      </w:r>
      <w:r>
        <w:rPr>
          <w:rFonts w:ascii="Times New Roman" w:eastAsia="Times New Roman" w:hAnsi="Times New Roman" w:cs="Times New Roman"/>
          <w:color w:val="181717"/>
          <w:sz w:val="26"/>
        </w:rPr>
        <w:t>, G. Giammanco</w:t>
      </w:r>
      <w:r>
        <w:rPr>
          <w:rFonts w:ascii="Times New Roman" w:eastAsia="Times New Roman" w:hAnsi="Times New Roman" w:cs="Times New Roman"/>
          <w:color w:val="181717"/>
          <w:sz w:val="15"/>
        </w:rPr>
        <w:t>1,4,14</w:t>
      </w:r>
      <w:r>
        <w:rPr>
          <w:rFonts w:ascii="Times New Roman" w:eastAsia="Times New Roman" w:hAnsi="Times New Roman" w:cs="Times New Roman"/>
          <w:color w:val="181717"/>
          <w:sz w:val="26"/>
        </w:rPr>
        <w:t>, C. Signorelli</w:t>
      </w:r>
      <w:r>
        <w:rPr>
          <w:rFonts w:ascii="Times New Roman" w:eastAsia="Times New Roman" w:hAnsi="Times New Roman" w:cs="Times New Roman"/>
          <w:color w:val="181717"/>
          <w:sz w:val="15"/>
        </w:rPr>
        <w:t>1,4,14</w:t>
      </w:r>
      <w:r>
        <w:rPr>
          <w:rFonts w:ascii="Times New Roman" w:eastAsia="Times New Roman" w:hAnsi="Times New Roman" w:cs="Times New Roman"/>
          <w:color w:val="181717"/>
          <w:sz w:val="26"/>
        </w:rPr>
        <w:t>,</w:t>
      </w:r>
    </w:p>
    <w:p w:rsidR="00F04C47" w:rsidRDefault="006058C6">
      <w:pPr>
        <w:spacing w:after="4" w:line="266" w:lineRule="auto"/>
        <w:ind w:left="-5" w:right="179" w:hanging="10"/>
        <w:jc w:val="both"/>
      </w:pPr>
      <w:r>
        <w:rPr>
          <w:rFonts w:ascii="Times New Roman" w:eastAsia="Times New Roman" w:hAnsi="Times New Roman" w:cs="Times New Roman"/>
          <w:color w:val="181717"/>
          <w:sz w:val="26"/>
        </w:rPr>
        <w:t>F. Vitale</w:t>
      </w:r>
      <w:r>
        <w:rPr>
          <w:rFonts w:ascii="Times New Roman" w:eastAsia="Times New Roman" w:hAnsi="Times New Roman" w:cs="Times New Roman"/>
          <w:color w:val="181717"/>
          <w:sz w:val="23"/>
          <w:vertAlign w:val="superscript"/>
        </w:rPr>
        <w:t>1,4,6,14</w:t>
      </w:r>
      <w:r>
        <w:rPr>
          <w:rFonts w:ascii="Times New Roman" w:eastAsia="Times New Roman" w:hAnsi="Times New Roman" w:cs="Times New Roman"/>
          <w:color w:val="181717"/>
          <w:sz w:val="26"/>
        </w:rPr>
        <w:t>, S. Declich</w:t>
      </w:r>
      <w:r>
        <w:rPr>
          <w:rFonts w:ascii="Times New Roman" w:eastAsia="Times New Roman" w:hAnsi="Times New Roman" w:cs="Times New Roman"/>
          <w:color w:val="181717"/>
          <w:sz w:val="23"/>
          <w:vertAlign w:val="superscript"/>
        </w:rPr>
        <w:t>3,5,14</w:t>
      </w:r>
      <w:r>
        <w:rPr>
          <w:rFonts w:ascii="Times New Roman" w:eastAsia="Times New Roman" w:hAnsi="Times New Roman" w:cs="Times New Roman"/>
          <w:color w:val="181717"/>
          <w:sz w:val="26"/>
        </w:rPr>
        <w:t>, M.E. Tosti</w:t>
      </w:r>
      <w:r>
        <w:rPr>
          <w:rFonts w:ascii="Times New Roman" w:eastAsia="Times New Roman" w:hAnsi="Times New Roman" w:cs="Times New Roman"/>
          <w:color w:val="181717"/>
          <w:sz w:val="23"/>
          <w:vertAlign w:val="superscript"/>
        </w:rPr>
        <w:t>5,14</w:t>
      </w:r>
      <w:r>
        <w:rPr>
          <w:rFonts w:ascii="Times New Roman" w:eastAsia="Times New Roman" w:hAnsi="Times New Roman" w:cs="Times New Roman"/>
          <w:color w:val="181717"/>
          <w:sz w:val="26"/>
        </w:rPr>
        <w:t>, M. Fabiani</w:t>
      </w:r>
      <w:r>
        <w:rPr>
          <w:rFonts w:ascii="Times New Roman" w:eastAsia="Times New Roman" w:hAnsi="Times New Roman" w:cs="Times New Roman"/>
          <w:color w:val="181717"/>
          <w:sz w:val="23"/>
          <w:vertAlign w:val="superscript"/>
        </w:rPr>
        <w:t>5,14</w:t>
      </w:r>
      <w:r>
        <w:rPr>
          <w:rFonts w:ascii="Times New Roman" w:eastAsia="Times New Roman" w:hAnsi="Times New Roman" w:cs="Times New Roman"/>
          <w:color w:val="181717"/>
          <w:sz w:val="26"/>
        </w:rPr>
        <w:t>, W. Mazzucco</w:t>
      </w:r>
      <w:r>
        <w:rPr>
          <w:rFonts w:ascii="Times New Roman" w:eastAsia="Times New Roman" w:hAnsi="Times New Roman" w:cs="Times New Roman"/>
          <w:color w:val="181717"/>
          <w:sz w:val="23"/>
          <w:vertAlign w:val="superscript"/>
        </w:rPr>
        <w:t>1,6,14</w:t>
      </w:r>
      <w:r>
        <w:rPr>
          <w:rFonts w:ascii="Times New Roman" w:eastAsia="Times New Roman" w:hAnsi="Times New Roman" w:cs="Times New Roman"/>
          <w:color w:val="181717"/>
          <w:sz w:val="26"/>
        </w:rPr>
        <w:t>, P. Giorgi Rossi</w:t>
      </w:r>
      <w:r>
        <w:rPr>
          <w:rFonts w:ascii="Times New Roman" w:eastAsia="Times New Roman" w:hAnsi="Times New Roman" w:cs="Times New Roman"/>
          <w:color w:val="181717"/>
          <w:sz w:val="23"/>
          <w:vertAlign w:val="superscript"/>
        </w:rPr>
        <w:t>7,14</w:t>
      </w:r>
      <w:r>
        <w:rPr>
          <w:rFonts w:ascii="Times New Roman" w:eastAsia="Times New Roman" w:hAnsi="Times New Roman" w:cs="Times New Roman"/>
          <w:color w:val="181717"/>
          <w:sz w:val="26"/>
        </w:rPr>
        <w:t>, P. Barretta</w:t>
      </w:r>
      <w:r>
        <w:rPr>
          <w:rFonts w:ascii="Times New Roman" w:eastAsia="Times New Roman" w:hAnsi="Times New Roman" w:cs="Times New Roman"/>
          <w:color w:val="181717"/>
          <w:sz w:val="23"/>
          <w:vertAlign w:val="superscript"/>
        </w:rPr>
        <w:t>8,14</w:t>
      </w:r>
      <w:r>
        <w:rPr>
          <w:rFonts w:ascii="Times New Roman" w:eastAsia="Times New Roman" w:hAnsi="Times New Roman" w:cs="Times New Roman"/>
          <w:color w:val="181717"/>
          <w:sz w:val="26"/>
        </w:rPr>
        <w:t>, M. Affronti</w:t>
      </w:r>
      <w:r>
        <w:rPr>
          <w:rFonts w:ascii="Times New Roman" w:eastAsia="Times New Roman" w:hAnsi="Times New Roman" w:cs="Times New Roman"/>
          <w:color w:val="181717"/>
          <w:sz w:val="23"/>
          <w:vertAlign w:val="superscript"/>
        </w:rPr>
        <w:t>3,9,14</w:t>
      </w:r>
      <w:r>
        <w:rPr>
          <w:rFonts w:ascii="Times New Roman" w:eastAsia="Times New Roman" w:hAnsi="Times New Roman" w:cs="Times New Roman"/>
          <w:color w:val="181717"/>
          <w:sz w:val="26"/>
        </w:rPr>
        <w:t>, S. La Placa</w:t>
      </w:r>
      <w:r>
        <w:rPr>
          <w:rFonts w:ascii="Times New Roman" w:eastAsia="Times New Roman" w:hAnsi="Times New Roman" w:cs="Times New Roman"/>
          <w:color w:val="181717"/>
          <w:sz w:val="23"/>
          <w:vertAlign w:val="superscript"/>
        </w:rPr>
        <w:t>3,10,14</w:t>
      </w:r>
      <w:r>
        <w:rPr>
          <w:rFonts w:ascii="Times New Roman" w:eastAsia="Times New Roman" w:hAnsi="Times New Roman" w:cs="Times New Roman"/>
          <w:color w:val="181717"/>
          <w:sz w:val="26"/>
        </w:rPr>
        <w:t>,</w:t>
      </w:r>
    </w:p>
    <w:p w:rsidR="00F04C47" w:rsidRDefault="006058C6">
      <w:pPr>
        <w:spacing w:after="4" w:line="266" w:lineRule="auto"/>
        <w:ind w:left="-5" w:right="179" w:hanging="10"/>
        <w:jc w:val="both"/>
      </w:pPr>
      <w:r>
        <w:rPr>
          <w:rFonts w:ascii="Times New Roman" w:eastAsia="Times New Roman" w:hAnsi="Times New Roman" w:cs="Times New Roman"/>
          <w:color w:val="181717"/>
          <w:sz w:val="26"/>
        </w:rPr>
        <w:t>E. Petrona Baviera</w:t>
      </w:r>
      <w:r>
        <w:rPr>
          <w:rFonts w:ascii="Times New Roman" w:eastAsia="Times New Roman" w:hAnsi="Times New Roman" w:cs="Times New Roman"/>
          <w:color w:val="181717"/>
          <w:sz w:val="23"/>
          <w:vertAlign w:val="superscript"/>
        </w:rPr>
        <w:t>3,14</w:t>
      </w:r>
      <w:r>
        <w:rPr>
          <w:rFonts w:ascii="Times New Roman" w:eastAsia="Times New Roman" w:hAnsi="Times New Roman" w:cs="Times New Roman"/>
          <w:color w:val="181717"/>
          <w:sz w:val="26"/>
        </w:rPr>
        <w:t>, M. Aragona</w:t>
      </w:r>
      <w:r>
        <w:rPr>
          <w:rFonts w:ascii="Times New Roman" w:eastAsia="Times New Roman" w:hAnsi="Times New Roman" w:cs="Times New Roman"/>
          <w:color w:val="181717"/>
          <w:sz w:val="23"/>
          <w:vertAlign w:val="superscript"/>
        </w:rPr>
        <w:t>11,14</w:t>
      </w:r>
      <w:r>
        <w:rPr>
          <w:rFonts w:ascii="Times New Roman" w:eastAsia="Times New Roman" w:hAnsi="Times New Roman" w:cs="Times New Roman"/>
          <w:color w:val="181717"/>
          <w:sz w:val="26"/>
        </w:rPr>
        <w:t>, M. Mazzetti</w:t>
      </w:r>
      <w:r>
        <w:rPr>
          <w:rFonts w:ascii="Times New Roman" w:eastAsia="Times New Roman" w:hAnsi="Times New Roman" w:cs="Times New Roman"/>
          <w:color w:val="181717"/>
          <w:sz w:val="23"/>
          <w:vertAlign w:val="superscript"/>
        </w:rPr>
        <w:t>3,14</w:t>
      </w:r>
      <w:r>
        <w:rPr>
          <w:rFonts w:ascii="Times New Roman" w:eastAsia="Times New Roman" w:hAnsi="Times New Roman" w:cs="Times New Roman"/>
          <w:color w:val="181717"/>
          <w:sz w:val="26"/>
        </w:rPr>
        <w:t>, G. Baglio</w:t>
      </w:r>
      <w:r>
        <w:rPr>
          <w:rFonts w:ascii="Times New Roman" w:eastAsia="Times New Roman" w:hAnsi="Times New Roman" w:cs="Times New Roman"/>
          <w:color w:val="181717"/>
          <w:sz w:val="23"/>
          <w:vertAlign w:val="superscript"/>
        </w:rPr>
        <w:t>3,12,14</w:t>
      </w:r>
      <w:r>
        <w:rPr>
          <w:rFonts w:ascii="Times New Roman" w:eastAsia="Times New Roman" w:hAnsi="Times New Roman" w:cs="Times New Roman"/>
          <w:color w:val="181717"/>
          <w:sz w:val="26"/>
        </w:rPr>
        <w:t>,</w:t>
      </w:r>
    </w:p>
    <w:p w:rsidR="00F04C47" w:rsidRDefault="006058C6">
      <w:pPr>
        <w:spacing w:after="4" w:line="266" w:lineRule="auto"/>
        <w:ind w:left="-5" w:right="179" w:hanging="10"/>
        <w:jc w:val="both"/>
      </w:pPr>
      <w:r>
        <w:rPr>
          <w:rFonts w:ascii="Times New Roman" w:eastAsia="Times New Roman" w:hAnsi="Times New Roman" w:cs="Times New Roman"/>
          <w:color w:val="181717"/>
          <w:sz w:val="26"/>
        </w:rPr>
        <w:t>E. Euge</w:t>
      </w:r>
      <w:r>
        <w:rPr>
          <w:rFonts w:ascii="Times New Roman" w:eastAsia="Times New Roman" w:hAnsi="Times New Roman" w:cs="Times New Roman"/>
          <w:color w:val="181717"/>
          <w:sz w:val="26"/>
        </w:rPr>
        <w:t>ni</w:t>
      </w:r>
      <w:r>
        <w:rPr>
          <w:rFonts w:ascii="Times New Roman" w:eastAsia="Times New Roman" w:hAnsi="Times New Roman" w:cs="Times New Roman"/>
          <w:color w:val="181717"/>
          <w:sz w:val="23"/>
          <w:vertAlign w:val="superscript"/>
        </w:rPr>
        <w:t>12,14</w:t>
      </w:r>
      <w:r>
        <w:rPr>
          <w:rFonts w:ascii="Times New Roman" w:eastAsia="Times New Roman" w:hAnsi="Times New Roman" w:cs="Times New Roman"/>
          <w:color w:val="181717"/>
          <w:sz w:val="26"/>
        </w:rPr>
        <w:t>, S. Geraci</w:t>
      </w:r>
      <w:r>
        <w:rPr>
          <w:rFonts w:ascii="Times New Roman" w:eastAsia="Times New Roman" w:hAnsi="Times New Roman" w:cs="Times New Roman"/>
          <w:color w:val="181717"/>
          <w:sz w:val="23"/>
          <w:vertAlign w:val="superscript"/>
        </w:rPr>
        <w:t>3,13,14</w:t>
      </w:r>
      <w:r>
        <w:rPr>
          <w:rFonts w:ascii="Times New Roman" w:eastAsia="Times New Roman" w:hAnsi="Times New Roman" w:cs="Times New Roman"/>
          <w:color w:val="181717"/>
          <w:sz w:val="26"/>
        </w:rPr>
        <w:t>, A. Sparaco</w:t>
      </w:r>
      <w:r>
        <w:rPr>
          <w:rFonts w:ascii="Times New Roman" w:eastAsia="Times New Roman" w:hAnsi="Times New Roman" w:cs="Times New Roman"/>
          <w:color w:val="181717"/>
          <w:sz w:val="23"/>
          <w:vertAlign w:val="superscript"/>
        </w:rPr>
        <w:t>10,14</w:t>
      </w:r>
      <w:r>
        <w:rPr>
          <w:rFonts w:ascii="Times New Roman" w:eastAsia="Times New Roman" w:hAnsi="Times New Roman" w:cs="Times New Roman"/>
          <w:color w:val="181717"/>
          <w:sz w:val="26"/>
        </w:rPr>
        <w:t>, P. Immordino</w:t>
      </w:r>
      <w:r>
        <w:rPr>
          <w:rFonts w:ascii="Times New Roman" w:eastAsia="Times New Roman" w:hAnsi="Times New Roman" w:cs="Times New Roman"/>
          <w:color w:val="181717"/>
          <w:sz w:val="23"/>
          <w:vertAlign w:val="superscript"/>
        </w:rPr>
        <w:t>6,14</w:t>
      </w:r>
      <w:r>
        <w:rPr>
          <w:rFonts w:ascii="Times New Roman" w:eastAsia="Times New Roman" w:hAnsi="Times New Roman" w:cs="Times New Roman"/>
          <w:color w:val="181717"/>
          <w:sz w:val="26"/>
        </w:rPr>
        <w:t>, M.L. Russo</w:t>
      </w:r>
      <w:r>
        <w:rPr>
          <w:rFonts w:ascii="Times New Roman" w:eastAsia="Times New Roman" w:hAnsi="Times New Roman" w:cs="Times New Roman"/>
          <w:color w:val="181717"/>
          <w:sz w:val="23"/>
          <w:vertAlign w:val="superscript"/>
        </w:rPr>
        <w:t>3,14</w:t>
      </w:r>
      <w:r>
        <w:rPr>
          <w:rFonts w:ascii="Times New Roman" w:eastAsia="Times New Roman" w:hAnsi="Times New Roman" w:cs="Times New Roman"/>
          <w:color w:val="181717"/>
          <w:sz w:val="26"/>
        </w:rPr>
        <w:t>,</w:t>
      </w:r>
    </w:p>
    <w:p w:rsidR="00F04C47" w:rsidRDefault="006058C6">
      <w:pPr>
        <w:spacing w:after="505" w:line="266" w:lineRule="auto"/>
        <w:ind w:left="-5" w:right="179" w:hanging="10"/>
        <w:jc w:val="both"/>
      </w:pPr>
      <w:r>
        <w:rPr>
          <w:rFonts w:ascii="Times New Roman" w:eastAsia="Times New Roman" w:hAnsi="Times New Roman" w:cs="Times New Roman"/>
          <w:color w:val="181717"/>
          <w:sz w:val="26"/>
        </w:rPr>
        <w:t>D. Giannini</w:t>
      </w:r>
      <w:r>
        <w:rPr>
          <w:rFonts w:ascii="Times New Roman" w:eastAsia="Times New Roman" w:hAnsi="Times New Roman" w:cs="Times New Roman"/>
          <w:color w:val="181717"/>
          <w:sz w:val="23"/>
          <w:vertAlign w:val="superscript"/>
        </w:rPr>
        <w:t>2,3,14</w:t>
      </w:r>
      <w:r>
        <w:rPr>
          <w:rFonts w:ascii="Times New Roman" w:eastAsia="Times New Roman" w:hAnsi="Times New Roman" w:cs="Times New Roman"/>
          <w:color w:val="181717"/>
          <w:sz w:val="26"/>
        </w:rPr>
        <w:t>, F. Turatto</w:t>
      </w:r>
      <w:r>
        <w:rPr>
          <w:rFonts w:ascii="Times New Roman" w:eastAsia="Times New Roman" w:hAnsi="Times New Roman" w:cs="Times New Roman"/>
          <w:color w:val="181717"/>
          <w:sz w:val="23"/>
          <w:vertAlign w:val="superscript"/>
        </w:rPr>
        <w:t>2,3,14</w:t>
      </w:r>
      <w:r>
        <w:rPr>
          <w:rFonts w:ascii="Times New Roman" w:eastAsia="Times New Roman" w:hAnsi="Times New Roman" w:cs="Times New Roman"/>
          <w:color w:val="181717"/>
          <w:sz w:val="26"/>
        </w:rPr>
        <w:t>, A. Gatta</w:t>
      </w:r>
      <w:r>
        <w:rPr>
          <w:rFonts w:ascii="Times New Roman" w:eastAsia="Times New Roman" w:hAnsi="Times New Roman" w:cs="Times New Roman"/>
          <w:color w:val="181717"/>
          <w:sz w:val="23"/>
          <w:vertAlign w:val="superscript"/>
        </w:rPr>
        <w:t>2,3,14</w:t>
      </w:r>
      <w:r>
        <w:rPr>
          <w:rFonts w:ascii="Times New Roman" w:eastAsia="Times New Roman" w:hAnsi="Times New Roman" w:cs="Times New Roman"/>
          <w:color w:val="181717"/>
          <w:sz w:val="26"/>
        </w:rPr>
        <w:t>, C. De Marchi</w:t>
      </w:r>
      <w:r>
        <w:rPr>
          <w:rFonts w:ascii="Times New Roman" w:eastAsia="Times New Roman" w:hAnsi="Times New Roman" w:cs="Times New Roman"/>
          <w:color w:val="181717"/>
          <w:sz w:val="23"/>
          <w:vertAlign w:val="superscript"/>
        </w:rPr>
        <w:t>2,3,14</w:t>
      </w:r>
      <w:r>
        <w:rPr>
          <w:rFonts w:ascii="Times New Roman" w:eastAsia="Times New Roman" w:hAnsi="Times New Roman" w:cs="Times New Roman"/>
          <w:color w:val="181717"/>
          <w:sz w:val="26"/>
        </w:rPr>
        <w:t>, L. Siena</w:t>
      </w:r>
      <w:r>
        <w:rPr>
          <w:rFonts w:ascii="Times New Roman" w:eastAsia="Times New Roman" w:hAnsi="Times New Roman" w:cs="Times New Roman"/>
          <w:color w:val="181717"/>
          <w:sz w:val="23"/>
          <w:vertAlign w:val="superscript"/>
        </w:rPr>
        <w:t>2,14</w:t>
      </w:r>
      <w:r>
        <w:rPr>
          <w:rFonts w:ascii="Times New Roman" w:eastAsia="Times New Roman" w:hAnsi="Times New Roman" w:cs="Times New Roman"/>
          <w:color w:val="181717"/>
          <w:sz w:val="26"/>
        </w:rPr>
        <w:t>, A. Bellini</w:t>
      </w:r>
      <w:r>
        <w:rPr>
          <w:rFonts w:ascii="Times New Roman" w:eastAsia="Times New Roman" w:hAnsi="Times New Roman" w:cs="Times New Roman"/>
          <w:color w:val="181717"/>
          <w:sz w:val="23"/>
          <w:vertAlign w:val="superscript"/>
        </w:rPr>
        <w:t>2,14</w:t>
      </w:r>
      <w:r>
        <w:rPr>
          <w:rFonts w:ascii="Times New Roman" w:eastAsia="Times New Roman" w:hAnsi="Times New Roman" w:cs="Times New Roman"/>
          <w:color w:val="181717"/>
          <w:sz w:val="26"/>
        </w:rPr>
        <w:t>, S. Scarso</w:t>
      </w:r>
      <w:r>
        <w:rPr>
          <w:rFonts w:ascii="Times New Roman" w:eastAsia="Times New Roman" w:hAnsi="Times New Roman" w:cs="Times New Roman"/>
          <w:color w:val="181717"/>
          <w:sz w:val="23"/>
          <w:vertAlign w:val="superscript"/>
        </w:rPr>
        <w:t>2,6,14</w:t>
      </w:r>
      <w:r>
        <w:rPr>
          <w:rFonts w:ascii="Times New Roman" w:eastAsia="Times New Roman" w:hAnsi="Times New Roman" w:cs="Times New Roman"/>
          <w:color w:val="181717"/>
          <w:sz w:val="26"/>
        </w:rPr>
        <w:t>, M. Sabato</w:t>
      </w:r>
      <w:r>
        <w:rPr>
          <w:rFonts w:ascii="Times New Roman" w:eastAsia="Times New Roman" w:hAnsi="Times New Roman" w:cs="Times New Roman"/>
          <w:color w:val="181717"/>
          <w:sz w:val="23"/>
          <w:vertAlign w:val="superscript"/>
        </w:rPr>
        <w:t>2</w:t>
      </w:r>
      <w:r>
        <w:rPr>
          <w:rFonts w:ascii="Times New Roman" w:eastAsia="Times New Roman" w:hAnsi="Times New Roman" w:cs="Times New Roman"/>
          <w:color w:val="181717"/>
          <w:sz w:val="26"/>
        </w:rPr>
        <w:t>, the 58</w:t>
      </w:r>
      <w:r>
        <w:rPr>
          <w:rFonts w:ascii="Times New Roman" w:eastAsia="Times New Roman" w:hAnsi="Times New Roman" w:cs="Times New Roman"/>
          <w:color w:val="181717"/>
          <w:sz w:val="23"/>
          <w:vertAlign w:val="superscript"/>
        </w:rPr>
        <w:t>th</w:t>
      </w:r>
      <w:r>
        <w:rPr>
          <w:rFonts w:ascii="Times New Roman" w:eastAsia="Times New Roman" w:hAnsi="Times New Roman" w:cs="Times New Roman"/>
          <w:color w:val="181717"/>
          <w:sz w:val="26"/>
        </w:rPr>
        <w:t xml:space="preserve"> Course Participants</w:t>
      </w:r>
      <w:r>
        <w:rPr>
          <w:rFonts w:ascii="Times New Roman" w:eastAsia="Times New Roman" w:hAnsi="Times New Roman" w:cs="Times New Roman"/>
          <w:color w:val="181717"/>
          <w:sz w:val="23"/>
          <w:vertAlign w:val="superscript"/>
        </w:rPr>
        <w:t>14</w:t>
      </w:r>
      <w:r>
        <w:rPr>
          <w:rFonts w:ascii="Times New Roman" w:eastAsia="Times New Roman" w:hAnsi="Times New Roman" w:cs="Times New Roman"/>
          <w:color w:val="181717"/>
          <w:sz w:val="26"/>
        </w:rPr>
        <w:t xml:space="preserve"> and the other Signatories of the final document</w:t>
      </w:r>
      <w:r>
        <w:rPr>
          <w:rFonts w:ascii="Times New Roman" w:eastAsia="Times New Roman" w:hAnsi="Times New Roman" w:cs="Times New Roman"/>
          <w:color w:val="181717"/>
          <w:sz w:val="23"/>
          <w:vertAlign w:val="superscript"/>
        </w:rPr>
        <w:t>15</w:t>
      </w:r>
    </w:p>
    <w:p w:rsidR="00F04C47" w:rsidRDefault="006058C6">
      <w:pPr>
        <w:spacing w:after="0" w:line="265" w:lineRule="auto"/>
        <w:ind w:left="-5" w:hanging="10"/>
      </w:pPr>
      <w:r>
        <w:rPr>
          <w:rFonts w:ascii="Times New Roman" w:eastAsia="Times New Roman" w:hAnsi="Times New Roman" w:cs="Times New Roman"/>
          <w:i/>
          <w:color w:val="181717"/>
          <w:sz w:val="21"/>
        </w:rPr>
        <w:t>Key words: Health, migrants, immigrants, Health system, Equity</w:t>
      </w:r>
    </w:p>
    <w:p w:rsidR="00F04C47" w:rsidRDefault="006058C6">
      <w:pPr>
        <w:spacing w:after="467" w:line="265" w:lineRule="auto"/>
        <w:ind w:left="-5" w:hanging="10"/>
      </w:pPr>
      <w:r>
        <w:rPr>
          <w:rFonts w:ascii="Times New Roman" w:eastAsia="Times New Roman" w:hAnsi="Times New Roman" w:cs="Times New Roman"/>
          <w:i/>
          <w:color w:val="181717"/>
          <w:sz w:val="21"/>
        </w:rPr>
        <w:t>Parole chiave: Salute, migranti, immigrati, Sistema sanitario, Equità</w:t>
      </w:r>
    </w:p>
    <w:p w:rsidR="00F04C47" w:rsidRDefault="006058C6">
      <w:pPr>
        <w:spacing w:after="212"/>
      </w:pPr>
      <w:r>
        <w:rPr>
          <w:noProof/>
        </w:rPr>
        <mc:AlternateContent>
          <mc:Choice Requires="wpg">
            <w:drawing>
              <wp:inline distT="0" distB="0" distL="0" distR="0">
                <wp:extent cx="648335" cy="3175"/>
                <wp:effectExtent l="0" t="0" r="0" b="0"/>
                <wp:docPr id="10597" name="Group 10597"/>
                <wp:cNvGraphicFramePr/>
                <a:graphic xmlns:a="http://schemas.openxmlformats.org/drawingml/2006/main">
                  <a:graphicData uri="http://schemas.microsoft.com/office/word/2010/wordprocessingGroup">
                    <wpg:wgp>
                      <wpg:cNvGrpSpPr/>
                      <wpg:grpSpPr>
                        <a:xfrm>
                          <a:off x="0" y="0"/>
                          <a:ext cx="648335" cy="3175"/>
                          <a:chOff x="0" y="0"/>
                          <a:chExt cx="648335" cy="3175"/>
                        </a:xfrm>
                      </wpg:grpSpPr>
                      <wps:wsp>
                        <wps:cNvPr id="44" name="Shape 44"/>
                        <wps:cNvSpPr/>
                        <wps:spPr>
                          <a:xfrm>
                            <a:off x="0" y="0"/>
                            <a:ext cx="648335" cy="0"/>
                          </a:xfrm>
                          <a:custGeom>
                            <a:avLst/>
                            <a:gdLst/>
                            <a:ahLst/>
                            <a:cxnLst/>
                            <a:rect l="0" t="0" r="0" b="0"/>
                            <a:pathLst>
                              <a:path w="648335">
                                <a:moveTo>
                                  <a:pt x="0" y="0"/>
                                </a:moveTo>
                                <a:lnTo>
                                  <a:pt x="648335"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97" style="width:51.05pt;height:0.25pt;mso-position-horizontal-relative:char;mso-position-vertical-relative:line" coordsize="6483,31">
                <v:shape id="Shape 44" style="position:absolute;width:6483;height:0;left:0;top:0;" coordsize="648335,0" path="m0,0l648335,0">
                  <v:stroke weight="0.25pt" endcap="flat" joinstyle="miter" miterlimit="4" on="true" color="#181717"/>
                  <v:fill on="false" color="#000000" opacity="0"/>
                </v:shape>
              </v:group>
            </w:pict>
          </mc:Fallback>
        </mc:AlternateConten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Italian Society for Hygiene, Preventive Medicine and Public Health (SI</w:t>
      </w:r>
      <w:r>
        <w:rPr>
          <w:rFonts w:ascii="Times New Roman" w:eastAsia="Times New Roman" w:hAnsi="Times New Roman" w:cs="Times New Roman"/>
          <w:i/>
          <w:color w:val="181717"/>
          <w:sz w:val="17"/>
        </w:rPr>
        <w:t>tI),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 xml:space="preserve">Department of Public Health &amp; Infectious Diseases, Sapienza University of Rome </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Italian Society of Migration Medicine (S.I.M.M.),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Director of the School of Epidemiology, Ettore Majorana Foundation and Centre for Scientific Culture, Erice,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National Institute of Health (ISS), National Centre for Global Health, Rome,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Promise Department, University of Palermo,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Local Hea</w:t>
      </w:r>
      <w:r>
        <w:rPr>
          <w:rFonts w:ascii="Times New Roman" w:eastAsia="Times New Roman" w:hAnsi="Times New Roman" w:cs="Times New Roman"/>
          <w:i/>
          <w:color w:val="181717"/>
          <w:sz w:val="17"/>
        </w:rPr>
        <w:t>lth Authority, Reggio Emilia</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“Carta” Association, Rome,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Sicilian Episcopal Conference (CESI), Regional Migration Office,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 xml:space="preserve">Local Health Authority, Trapani, Italy </w:t>
      </w:r>
    </w:p>
    <w:p w:rsidR="00F04C47" w:rsidRDefault="006058C6">
      <w:pPr>
        <w:numPr>
          <w:ilvl w:val="0"/>
          <w:numId w:val="1"/>
        </w:numPr>
        <w:spacing w:after="30" w:line="254" w:lineRule="auto"/>
        <w:ind w:hanging="124"/>
        <w:jc w:val="both"/>
      </w:pPr>
      <w:r>
        <w:rPr>
          <w:rFonts w:ascii="Times New Roman" w:eastAsia="Times New Roman" w:hAnsi="Times New Roman" w:cs="Times New Roman"/>
          <w:i/>
          <w:color w:val="181717"/>
          <w:sz w:val="17"/>
        </w:rPr>
        <w:t>National Institute for the promotion of migrant populations’ health and the contras</w:t>
      </w:r>
      <w:r>
        <w:rPr>
          <w:rFonts w:ascii="Times New Roman" w:eastAsia="Times New Roman" w:hAnsi="Times New Roman" w:cs="Times New Roman"/>
          <w:i/>
          <w:color w:val="181717"/>
          <w:sz w:val="17"/>
        </w:rPr>
        <w:t>t to the fight against the diseases of poverty (INMP), Rome, Italy</w:t>
      </w:r>
    </w:p>
    <w:p w:rsidR="00F04C47" w:rsidRDefault="006058C6">
      <w:pPr>
        <w:numPr>
          <w:ilvl w:val="0"/>
          <w:numId w:val="1"/>
        </w:numPr>
        <w:spacing w:after="5" w:line="254" w:lineRule="auto"/>
        <w:ind w:hanging="124"/>
        <w:jc w:val="both"/>
      </w:pPr>
      <w:r>
        <w:rPr>
          <w:rFonts w:ascii="Times New Roman" w:eastAsia="Times New Roman" w:hAnsi="Times New Roman" w:cs="Times New Roman"/>
          <w:i/>
          <w:color w:val="181717"/>
          <w:sz w:val="17"/>
        </w:rPr>
        <w:t>Agenzia Nazionale per i Servizi Sanitari Regionali – Agenas, Italy</w:t>
      </w:r>
    </w:p>
    <w:p w:rsidR="00F04C47" w:rsidRDefault="006058C6">
      <w:pPr>
        <w:numPr>
          <w:ilvl w:val="0"/>
          <w:numId w:val="1"/>
        </w:numPr>
        <w:spacing w:after="121" w:line="254" w:lineRule="auto"/>
        <w:ind w:hanging="124"/>
        <w:jc w:val="both"/>
      </w:pPr>
      <w:r>
        <w:rPr>
          <w:rFonts w:ascii="Times New Roman" w:eastAsia="Times New Roman" w:hAnsi="Times New Roman" w:cs="Times New Roman"/>
          <w:i/>
          <w:color w:val="181717"/>
          <w:sz w:val="17"/>
        </w:rPr>
        <w:t>Caritas of Rome, Italy</w:t>
      </w:r>
    </w:p>
    <w:p w:rsidR="00F04C47" w:rsidRDefault="006058C6">
      <w:pPr>
        <w:numPr>
          <w:ilvl w:val="0"/>
          <w:numId w:val="1"/>
        </w:numPr>
        <w:spacing w:after="32"/>
        <w:ind w:hanging="124"/>
        <w:jc w:val="both"/>
      </w:pPr>
      <w:r>
        <w:rPr>
          <w:rFonts w:ascii="Times New Roman" w:eastAsia="Times New Roman" w:hAnsi="Times New Roman" w:cs="Times New Roman"/>
          <w:b/>
          <w:i/>
          <w:color w:val="181717"/>
          <w:sz w:val="17"/>
        </w:rPr>
        <w:t>The 58th Course Participants:</w:t>
      </w:r>
    </w:p>
    <w:p w:rsidR="00F04C47" w:rsidRDefault="006058C6">
      <w:pPr>
        <w:spacing w:after="571" w:line="254" w:lineRule="auto"/>
        <w:ind w:left="-5" w:right="173" w:hanging="10"/>
        <w:jc w:val="both"/>
      </w:pPr>
      <w:r>
        <w:rPr>
          <w:rFonts w:ascii="Times New Roman" w:eastAsia="Times New Roman" w:hAnsi="Times New Roman" w:cs="Times New Roman"/>
          <w:i/>
          <w:color w:val="181717"/>
          <w:sz w:val="17"/>
        </w:rPr>
        <w:t>R. Albertini, University of Parma; G. Angeloni, Sapienza University o</w:t>
      </w:r>
      <w:r>
        <w:rPr>
          <w:rFonts w:ascii="Times New Roman" w:eastAsia="Times New Roman" w:hAnsi="Times New Roman" w:cs="Times New Roman"/>
          <w:i/>
          <w:color w:val="181717"/>
          <w:sz w:val="17"/>
        </w:rPr>
        <w:t>f Rome; D. Bardhi, University of L’Aquila; S. Barigazzi, &lt;saluteGlobale.it&gt;, Milan; S. Bellopede, University “Federico II” of Naples; L. Bernardini, University “Tor Vergata” of Rome; N. Berselli, University of Modena and Reggio Emilia; A. Bruno, University</w:t>
      </w:r>
      <w:r>
        <w:rPr>
          <w:rFonts w:ascii="Times New Roman" w:eastAsia="Times New Roman" w:hAnsi="Times New Roman" w:cs="Times New Roman"/>
          <w:i/>
          <w:color w:val="181717"/>
          <w:sz w:val="17"/>
        </w:rPr>
        <w:t xml:space="preserve"> of Palermo; A.L. Calaprice, Local Health Authority, Bari; M.C. Carmignani, Local Health Authority Abruzzo 1, Avezzano; E. Cimino, University of L’Aquila; G. Colarieti, University of Brescia; V. Cucca, University of Milano Bicocca; A. Cutuli, University of</w:t>
      </w:r>
      <w:r>
        <w:rPr>
          <w:rFonts w:ascii="Times New Roman" w:eastAsia="Times New Roman" w:hAnsi="Times New Roman" w:cs="Times New Roman"/>
          <w:i/>
          <w:color w:val="181717"/>
          <w:sz w:val="17"/>
        </w:rPr>
        <w:t xml:space="preserve"> Catania; L. Dansero, University of Turin; V. De Gennaro, University of Milano Bicocca; V. De Nicolò, Sapienza University of Rome; L. De Pasquale, University of Modena and Reggio Emilia; G. Di Martino, Provincial Health Authority of Ragusa; D. Di Thiene, L</w:t>
      </w:r>
      <w:r>
        <w:rPr>
          <w:rFonts w:ascii="Times New Roman" w:eastAsia="Times New Roman" w:hAnsi="Times New Roman" w:cs="Times New Roman"/>
          <w:i/>
          <w:color w:val="181717"/>
          <w:sz w:val="17"/>
        </w:rPr>
        <w:t xml:space="preserve">ocal Health Authority of Rome 1; F. Dijust, University of Udine; M.C. Facchini, University of Modena and Reggio Emilia; M. Festa, University of </w:t>
      </w:r>
    </w:p>
    <w:p w:rsidR="00F04C47" w:rsidRDefault="006058C6">
      <w:pPr>
        <w:spacing w:after="4" w:line="254" w:lineRule="auto"/>
        <w:ind w:left="-5" w:right="4142" w:hanging="10"/>
      </w:pPr>
      <w:r>
        <w:rPr>
          <w:rFonts w:ascii="Times New Roman" w:eastAsia="Times New Roman" w:hAnsi="Times New Roman" w:cs="Times New Roman"/>
          <w:color w:val="181717"/>
          <w:sz w:val="16"/>
        </w:rPr>
        <w:lastRenderedPageBreak/>
        <w:t>Annali di Igiene : Medicina Preventiva e di Comunità (Ann Ig) ISSN 1120-9135    https://www.annali-igiene.it</w:t>
      </w:r>
    </w:p>
    <w:p w:rsidR="00F04C47" w:rsidRDefault="006058C6">
      <w:pPr>
        <w:spacing w:after="4" w:line="254" w:lineRule="auto"/>
        <w:ind w:left="-5" w:right="4142" w:hanging="10"/>
      </w:pPr>
      <w:r>
        <w:rPr>
          <w:rFonts w:ascii="Times New Roman" w:eastAsia="Times New Roman" w:hAnsi="Times New Roman" w:cs="Times New Roman"/>
          <w:color w:val="181717"/>
          <w:sz w:val="16"/>
        </w:rPr>
        <w:t>Co</w:t>
      </w:r>
      <w:r>
        <w:rPr>
          <w:rFonts w:ascii="Times New Roman" w:eastAsia="Times New Roman" w:hAnsi="Times New Roman" w:cs="Times New Roman"/>
          <w:color w:val="181717"/>
          <w:sz w:val="16"/>
        </w:rPr>
        <w:t>pyright © Società Editrice Universo (SEU), Roma, Italy</w:t>
      </w:r>
    </w:p>
    <w:p w:rsidR="00F04C47" w:rsidRDefault="006058C6">
      <w:pPr>
        <w:spacing w:after="79" w:line="254" w:lineRule="auto"/>
        <w:ind w:left="180" w:hanging="10"/>
        <w:jc w:val="both"/>
      </w:pPr>
      <w:r>
        <w:rPr>
          <w:rFonts w:ascii="Times New Roman" w:eastAsia="Times New Roman" w:hAnsi="Times New Roman" w:cs="Times New Roman"/>
          <w:i/>
          <w:color w:val="181717"/>
          <w:sz w:val="17"/>
        </w:rPr>
        <w:t>Brescia; M.C. Finzi, University of Parma; P. Fioretti, University of Perugia; V. Fraccacreta, University of Parma; R. Gallo, Sapienza University of Rome; M.P. Genovese, University of Messina; D. Graci, University of Palermo; G. Granvillano, University of C</w:t>
      </w:r>
      <w:r>
        <w:rPr>
          <w:rFonts w:ascii="Times New Roman" w:eastAsia="Times New Roman" w:hAnsi="Times New Roman" w:cs="Times New Roman"/>
          <w:i/>
          <w:color w:val="181717"/>
          <w:sz w:val="17"/>
        </w:rPr>
        <w:t>atania; S. Iodice, University “Federico II” of Naples; G. Lauria, University of Milano Bicocca; G. Leotta, University of Catania; C. Lombardo, University of L’Aquila; A. Marini, Local Health Authority of Romagna, Ravenna; S. Marozzi, University of Parma; T</w:t>
      </w:r>
      <w:r>
        <w:rPr>
          <w:rFonts w:ascii="Times New Roman" w:eastAsia="Times New Roman" w:hAnsi="Times New Roman" w:cs="Times New Roman"/>
          <w:i/>
          <w:color w:val="181717"/>
          <w:sz w:val="17"/>
        </w:rPr>
        <w:t>. Marzulli, Local Health Authority of Romagna, Ravenna; E. Massaro, University of Genua; F. Mazzitelli, University of Messina; F. Meo, G. D’Annunzio University, Chieti-Pescara;  C. Migliore, University of Parma; M. Mihoc, University of Parma; I. Minicucci,</w:t>
      </w:r>
      <w:r>
        <w:rPr>
          <w:rFonts w:ascii="Times New Roman" w:eastAsia="Times New Roman" w:hAnsi="Times New Roman" w:cs="Times New Roman"/>
          <w:i/>
          <w:color w:val="181717"/>
          <w:sz w:val="17"/>
        </w:rPr>
        <w:t xml:space="preserve"> University of Perugia; G. Minutolo, University of Palermo; E. Miotto, University of Udine; F. Mogliazzi, University “Tor V ergata” of Rome; M. Monti, University of Modena and Reggio Emilia; F. Mosaico, University “Tor  Vergata” of Rome; M. Muselli, Univer</w:t>
      </w:r>
      <w:r>
        <w:rPr>
          <w:rFonts w:ascii="Times New Roman" w:eastAsia="Times New Roman" w:hAnsi="Times New Roman" w:cs="Times New Roman"/>
          <w:i/>
          <w:color w:val="181717"/>
          <w:sz w:val="17"/>
        </w:rPr>
        <w:t>sity of L’Aquila; V. Nervi, University of Brescia; P. Olivani, Italian Society of Migration Medicine; E. Ottani, University of Brescia; C. Pacillo, Catholic University of the Sacred Heart, Rome; M. Palella, University of Catania; D. Panizzut, Italian Socie</w:t>
      </w:r>
      <w:r>
        <w:rPr>
          <w:rFonts w:ascii="Times New Roman" w:eastAsia="Times New Roman" w:hAnsi="Times New Roman" w:cs="Times New Roman"/>
          <w:i/>
          <w:color w:val="181717"/>
          <w:sz w:val="17"/>
        </w:rPr>
        <w:t>ty of Migration Medicine; M. Parisi, University of Milano Bicocca; R. Pennone, Local Health Authority Naples 2 North; A. Petrazzuolo, University of Udine; V. Pettinicchio, Local Health Authority Rome 2; P. Pirastu, Local Health Authority of Cagliari; G. Ru</w:t>
      </w:r>
      <w:r>
        <w:rPr>
          <w:rFonts w:ascii="Times New Roman" w:eastAsia="Times New Roman" w:hAnsi="Times New Roman" w:cs="Times New Roman"/>
          <w:i/>
          <w:color w:val="181717"/>
          <w:sz w:val="17"/>
        </w:rPr>
        <w:t>sso, University of Udine; W. Salameh, University of Cagliari; G. Santolini, University of Perugia; F. Scalia, University of Milano Bicocca; L. Somenzi, University of Parma; S. Sorosina, University of Brescia; M. Tolomeo, University of Milano Bicocca; F. Tr</w:t>
      </w:r>
      <w:r>
        <w:rPr>
          <w:rFonts w:ascii="Times New Roman" w:eastAsia="Times New Roman" w:hAnsi="Times New Roman" w:cs="Times New Roman"/>
          <w:i/>
          <w:color w:val="181717"/>
          <w:sz w:val="17"/>
        </w:rPr>
        <w:t>aglia, University “Tor Vergata” of Rome; V. Vitale, Local Health Authority of Bari; L. Zagra, University of Palermo; G. Zanutto, Alma Mater Studiorum University of Bologna; B. Zerbi, University of Parma.</w:t>
      </w:r>
    </w:p>
    <w:p w:rsidR="00F04C47" w:rsidRDefault="006058C6">
      <w:pPr>
        <w:spacing w:after="32"/>
        <w:ind w:left="180" w:hanging="10"/>
      </w:pPr>
      <w:r>
        <w:rPr>
          <w:rFonts w:ascii="Times New Roman" w:eastAsia="Times New Roman" w:hAnsi="Times New Roman" w:cs="Times New Roman"/>
          <w:b/>
          <w:i/>
          <w:color w:val="181717"/>
          <w:sz w:val="15"/>
          <w:vertAlign w:val="superscript"/>
        </w:rPr>
        <w:t xml:space="preserve">15 </w:t>
      </w:r>
      <w:r>
        <w:rPr>
          <w:rFonts w:ascii="Times New Roman" w:eastAsia="Times New Roman" w:hAnsi="Times New Roman" w:cs="Times New Roman"/>
          <w:b/>
          <w:i/>
          <w:color w:val="181717"/>
          <w:sz w:val="17"/>
        </w:rPr>
        <w:t xml:space="preserve">The other Signatories of the Final Document </w:t>
      </w:r>
    </w:p>
    <w:p w:rsidR="00F04C47" w:rsidRDefault="006058C6">
      <w:pPr>
        <w:spacing w:after="1398" w:line="254" w:lineRule="auto"/>
        <w:ind w:left="180" w:hanging="10"/>
        <w:jc w:val="both"/>
      </w:pPr>
      <w:r>
        <w:rPr>
          <w:rFonts w:ascii="Times New Roman" w:eastAsia="Times New Roman" w:hAnsi="Times New Roman" w:cs="Times New Roman"/>
          <w:i/>
          <w:color w:val="181717"/>
          <w:sz w:val="17"/>
        </w:rPr>
        <w:t xml:space="preserve">F. Angelotti, A. Antognelli, N. Balan, M. Baldini, A. Battaglia, F. Berghenti, M. Bertini, C. Bianchi, L. Borruso, G. Brindisi, M. Calacoci, F. Calzedda, M. Caminiti, R. Campus, P. Capparucci, C. Cavallucci, C. Cerini, V. Chiandotto, C. Ciani, A. Corsaro, </w:t>
      </w:r>
      <w:r>
        <w:rPr>
          <w:rFonts w:ascii="Times New Roman" w:eastAsia="Times New Roman" w:hAnsi="Times New Roman" w:cs="Times New Roman"/>
          <w:i/>
          <w:color w:val="181717"/>
          <w:sz w:val="17"/>
        </w:rPr>
        <w:t>S. Curzi, V. De Gennaro, Si. Del Principe, Sa. Del Principe, A. Demurtas, M.G. Dente, M. Di Matteo, S. Di Matteo, L. Di Pietrantonio, F. D’Osualdo, P. Egini, F. Ena, S. Esposito, S. Ferrara, B. Formenti, V. Forte, C. Fozza, G. Frega, V. Gasbarre, Fe. Giann</w:t>
      </w:r>
      <w:r>
        <w:rPr>
          <w:rFonts w:ascii="Times New Roman" w:eastAsia="Times New Roman" w:hAnsi="Times New Roman" w:cs="Times New Roman"/>
          <w:i/>
          <w:color w:val="181717"/>
          <w:sz w:val="17"/>
        </w:rPr>
        <w:t>ini, Fr. Giannini, R. Gramenzi, M.A. Grimaldi, L. Leuzzi, S. Loddo, Ele. Lorenzini, O. Lorenzini, Eli. Lorenzini, C. Lupi, G. Marchetti, R. Marini, S. Marona, M.T. Migliano, I. Miglioli, R. Millevolte, E. Missoni, V. Monetti, F. Munari, S. Mura, F. Nieddu,</w:t>
      </w:r>
      <w:r>
        <w:rPr>
          <w:rFonts w:ascii="Times New Roman" w:eastAsia="Times New Roman" w:hAnsi="Times New Roman" w:cs="Times New Roman"/>
          <w:i/>
          <w:color w:val="181717"/>
          <w:sz w:val="17"/>
        </w:rPr>
        <w:t xml:space="preserve"> A. Oggiano, E. Ortica, V. Ortica, C. Padovan, D.W. Pairone, G. Panci, A. Pasquini, A. Pellacchia, S. Pelosio, T. Peratoner, G. Pili, G. Pituru, G. Pitzalis, P. Politi, F. Quagliani, F. Rosin, M. Sambuco, T. Santini, S. Saran, S. Schivazappa, S. Scolastra,</w:t>
      </w:r>
      <w:r>
        <w:rPr>
          <w:rFonts w:ascii="Times New Roman" w:eastAsia="Times New Roman" w:hAnsi="Times New Roman" w:cs="Times New Roman"/>
          <w:i/>
          <w:color w:val="181717"/>
          <w:sz w:val="17"/>
        </w:rPr>
        <w:t xml:space="preserve"> P. Seccia, L. Surace, A. Verona, A. Villani.</w:t>
      </w:r>
    </w:p>
    <w:p w:rsidR="00F04C47" w:rsidRDefault="006058C6">
      <w:pPr>
        <w:pStyle w:val="Heading1"/>
        <w:shd w:val="clear" w:color="auto" w:fill="auto"/>
        <w:spacing w:after="98"/>
        <w:ind w:left="180" w:hanging="10"/>
      </w:pPr>
      <w:r>
        <w:rPr>
          <w:sz w:val="20"/>
        </w:rPr>
        <w:t xml:space="preserve">Abstract </w:t>
      </w:r>
    </w:p>
    <w:p w:rsidR="00F04C47" w:rsidRDefault="006058C6">
      <w:pPr>
        <w:spacing w:after="0" w:line="249" w:lineRule="auto"/>
        <w:ind w:left="453" w:right="4"/>
        <w:jc w:val="both"/>
      </w:pPr>
      <w:r>
        <w:rPr>
          <w:rFonts w:ascii="Times New Roman" w:eastAsia="Times New Roman" w:hAnsi="Times New Roman" w:cs="Times New Roman"/>
          <w:i/>
          <w:color w:val="181717"/>
          <w:sz w:val="19"/>
        </w:rPr>
        <w:t>The Erice 58 Charter titled “The Health of Migrants: a Challenge of Equity for the Public Health System”, was unanimously approved at the conclusion of the 58th Residential Course of the School of Epi</w:t>
      </w:r>
      <w:r>
        <w:rPr>
          <w:rFonts w:ascii="Times New Roman" w:eastAsia="Times New Roman" w:hAnsi="Times New Roman" w:cs="Times New Roman"/>
          <w:i/>
          <w:color w:val="181717"/>
          <w:sz w:val="19"/>
        </w:rPr>
        <w:t>demiology and Preventive Medicine ‘Giuseppe D’Alessandro’ entitled “The Health of Migrants: a Challenge of Equity for the Public Health System. Epidemiological, clinical-relational, regulatory, organisational, training and public communication aspects at i</w:t>
      </w:r>
      <w:r>
        <w:rPr>
          <w:rFonts w:ascii="Times New Roman" w:eastAsia="Times New Roman" w:hAnsi="Times New Roman" w:cs="Times New Roman"/>
          <w:i/>
          <w:color w:val="181717"/>
          <w:sz w:val="19"/>
        </w:rPr>
        <w:t>nternational, national and local level’, which took place from 28 March to 2 April 2022 in Erice (Sicily, Italy), at the ‘Ettore Majorana’ Foundation and Centre for Scientific Culture. The Course was promoted by the Italian Society of Migration Medicine (S</w:t>
      </w:r>
      <w:r>
        <w:rPr>
          <w:rFonts w:ascii="Times New Roman" w:eastAsia="Times New Roman" w:hAnsi="Times New Roman" w:cs="Times New Roman"/>
          <w:i/>
          <w:color w:val="181717"/>
          <w:sz w:val="19"/>
        </w:rPr>
        <w:t>.I.M.M.) and the Italian Society of Hygiene, Preventive Medicine and Public Health (SItI), with the collaboration and patronage of the Istituto Superiore di Sanità (ISS). 72 learners participated (mainly resident doctors in ‘Hygiene and Preventive Medicine</w:t>
      </w:r>
      <w:r>
        <w:rPr>
          <w:rFonts w:ascii="Times New Roman" w:eastAsia="Times New Roman" w:hAnsi="Times New Roman" w:cs="Times New Roman"/>
          <w:i/>
          <w:color w:val="181717"/>
          <w:sz w:val="19"/>
        </w:rPr>
        <w:t>’ but also other health service professionals), whose average age was 37 years; on the basis of territorial origin, 13 of the 20 Italian regions were represented. During the intense learning experience, which consisted of 18 frontal lessons (with 20 lectur</w:t>
      </w:r>
      <w:r>
        <w:rPr>
          <w:rFonts w:ascii="Times New Roman" w:eastAsia="Times New Roman" w:hAnsi="Times New Roman" w:cs="Times New Roman"/>
          <w:i/>
          <w:color w:val="181717"/>
          <w:sz w:val="19"/>
        </w:rPr>
        <w:t>ers from the bio-medical, socio-anthropological and journalistic fields) and 7 working group sessions (supported by 4 classroom tutors in addition to the lecturers) in ‘blended learning’ mode, the various dimensions and critical issues related to the possi</w:t>
      </w:r>
      <w:r>
        <w:rPr>
          <w:rFonts w:ascii="Times New Roman" w:eastAsia="Times New Roman" w:hAnsi="Times New Roman" w:cs="Times New Roman"/>
          <w:i/>
          <w:color w:val="181717"/>
          <w:sz w:val="19"/>
        </w:rPr>
        <w:t xml:space="preserve">bility of guaranteeing truly inclusive health policies for foreigners/migrants, throughout the country, were identified and discussed from an ‘Health Equity’ perspective. This enabled a small editorial group to draw up the basic document that, in the last </w:t>
      </w:r>
      <w:r>
        <w:rPr>
          <w:rFonts w:ascii="Times New Roman" w:eastAsia="Times New Roman" w:hAnsi="Times New Roman" w:cs="Times New Roman"/>
          <w:i/>
          <w:color w:val="181717"/>
          <w:sz w:val="19"/>
        </w:rPr>
        <w:t>session of the Course, was discussed and modified by all participants into the version of the ‘Erice 58 Charter’ presented here.</w:t>
      </w:r>
    </w:p>
    <w:p w:rsidR="00F04C47" w:rsidRDefault="00F04C47">
      <w:pPr>
        <w:sectPr w:rsidR="00F04C47">
          <w:headerReference w:type="even" r:id="rId7"/>
          <w:headerReference w:type="default" r:id="rId8"/>
          <w:headerReference w:type="first" r:id="rId9"/>
          <w:pgSz w:w="10205" w:h="14740"/>
          <w:pgMar w:top="1111" w:right="845" w:bottom="973" w:left="850" w:header="720" w:footer="720" w:gutter="0"/>
          <w:pgNumType w:start="707"/>
          <w:cols w:space="720"/>
          <w:titlePg/>
        </w:sectPr>
      </w:pPr>
    </w:p>
    <w:p w:rsidR="00F04C47" w:rsidRDefault="006058C6">
      <w:pPr>
        <w:pStyle w:val="Heading1"/>
        <w:shd w:val="clear" w:color="auto" w:fill="auto"/>
        <w:ind w:left="0"/>
      </w:pPr>
      <w:r>
        <w:lastRenderedPageBreak/>
        <w:t>Introduction</w:t>
      </w:r>
    </w:p>
    <w:p w:rsidR="00F04C47" w:rsidRDefault="006058C6">
      <w:pPr>
        <w:spacing w:after="3" w:line="225" w:lineRule="auto"/>
        <w:ind w:right="46" w:firstLine="273"/>
        <w:jc w:val="both"/>
      </w:pPr>
      <w:r>
        <w:rPr>
          <w:rFonts w:ascii="Times New Roman" w:eastAsia="Times New Roman" w:hAnsi="Times New Roman" w:cs="Times New Roman"/>
          <w:color w:val="181717"/>
          <w:sz w:val="23"/>
        </w:rPr>
        <w:t xml:space="preserve">In a planet where an estimated 281 million international migrants live, migration is now rightly considered a social determinant of health (1, 2). Human societies and their health systems increasingly have to deal with this phenomenon according to complex </w:t>
      </w:r>
      <w:r>
        <w:rPr>
          <w:rFonts w:ascii="Times New Roman" w:eastAsia="Times New Roman" w:hAnsi="Times New Roman" w:cs="Times New Roman"/>
          <w:color w:val="181717"/>
          <w:sz w:val="23"/>
        </w:rPr>
        <w:t>dynamics, which require knowledge, skills, strategies and targeted approaches. An editorial in ‘The Lancet’ of 24 May 2018 was entitled: ‘No public health without migrant health’; this title was later significantly taken up by: ‘Report on the health of ref</w:t>
      </w:r>
      <w:r>
        <w:rPr>
          <w:rFonts w:ascii="Times New Roman" w:eastAsia="Times New Roman" w:hAnsi="Times New Roman" w:cs="Times New Roman"/>
          <w:color w:val="181717"/>
          <w:sz w:val="23"/>
        </w:rPr>
        <w:t xml:space="preserve">ugees and migrants in the WHO European Region’ by the European Office of the World Health </w:t>
      </w:r>
    </w:p>
    <w:p w:rsidR="00F04C47" w:rsidRDefault="006058C6">
      <w:pPr>
        <w:spacing w:after="3" w:line="225" w:lineRule="auto"/>
        <w:ind w:right="46"/>
        <w:jc w:val="both"/>
      </w:pPr>
      <w:r>
        <w:rPr>
          <w:rFonts w:ascii="Times New Roman" w:eastAsia="Times New Roman" w:hAnsi="Times New Roman" w:cs="Times New Roman"/>
          <w:color w:val="181717"/>
          <w:sz w:val="23"/>
        </w:rPr>
        <w:t>Organisation published in the same year (3).</w:t>
      </w:r>
    </w:p>
    <w:p w:rsidR="00F04C47" w:rsidRDefault="006058C6">
      <w:pPr>
        <w:spacing w:after="0"/>
        <w:ind w:left="-15" w:right="44" w:firstLine="283"/>
        <w:jc w:val="both"/>
      </w:pPr>
      <w:r>
        <w:rPr>
          <w:rFonts w:ascii="Times New Roman" w:eastAsia="Times New Roman" w:hAnsi="Times New Roman" w:cs="Times New Roman"/>
          <w:color w:val="181717"/>
          <w:sz w:val="23"/>
        </w:rPr>
        <w:t xml:space="preserve">The Course that gave rise to the Erice 58 Charter presented here set out to </w:t>
      </w:r>
      <w:r>
        <w:rPr>
          <w:rFonts w:ascii="Times New Roman" w:eastAsia="Times New Roman" w:hAnsi="Times New Roman" w:cs="Times New Roman"/>
          <w:i/>
          <w:color w:val="181717"/>
          <w:sz w:val="23"/>
        </w:rPr>
        <w:t xml:space="preserve">“offer, from a public health perspective, a </w:t>
      </w:r>
      <w:r>
        <w:rPr>
          <w:rFonts w:ascii="Times New Roman" w:eastAsia="Times New Roman" w:hAnsi="Times New Roman" w:cs="Times New Roman"/>
          <w:i/>
          <w:color w:val="181717"/>
          <w:sz w:val="23"/>
        </w:rPr>
        <w:t>broad and structured view of the health and care implications of migration in its various forms and expressions, with the aim of orienting and qualifying individual professionals, health organisations and decision-makers”</w:t>
      </w:r>
      <w:r>
        <w:rPr>
          <w:rFonts w:ascii="Times New Roman" w:eastAsia="Times New Roman" w:hAnsi="Times New Roman" w:cs="Times New Roman"/>
          <w:color w:val="181717"/>
          <w:sz w:val="23"/>
        </w:rPr>
        <w:t>.</w:t>
      </w:r>
    </w:p>
    <w:p w:rsidR="00F04C47" w:rsidRDefault="006058C6">
      <w:pPr>
        <w:spacing w:after="3" w:line="225" w:lineRule="auto"/>
        <w:ind w:right="46" w:firstLine="273"/>
        <w:jc w:val="both"/>
      </w:pPr>
      <w:r>
        <w:rPr>
          <w:rFonts w:ascii="Times New Roman" w:eastAsia="Times New Roman" w:hAnsi="Times New Roman" w:cs="Times New Roman"/>
          <w:color w:val="181717"/>
          <w:sz w:val="23"/>
        </w:rPr>
        <w:t>To this end, the following themat</w:t>
      </w:r>
      <w:r>
        <w:rPr>
          <w:rFonts w:ascii="Times New Roman" w:eastAsia="Times New Roman" w:hAnsi="Times New Roman" w:cs="Times New Roman"/>
          <w:color w:val="181717"/>
          <w:sz w:val="23"/>
        </w:rPr>
        <w:t>ic areas were addressed on the various days of the Course:</w:t>
      </w:r>
    </w:p>
    <w:p w:rsidR="00F04C47" w:rsidRDefault="006058C6">
      <w:pPr>
        <w:numPr>
          <w:ilvl w:val="0"/>
          <w:numId w:val="2"/>
        </w:numPr>
        <w:spacing w:after="3" w:line="225" w:lineRule="auto"/>
        <w:ind w:right="46" w:firstLine="273"/>
        <w:jc w:val="both"/>
      </w:pPr>
      <w:r>
        <w:rPr>
          <w:rFonts w:ascii="Times New Roman" w:eastAsia="Times New Roman" w:hAnsi="Times New Roman" w:cs="Times New Roman"/>
          <w:color w:val="181717"/>
          <w:sz w:val="23"/>
        </w:rPr>
        <w:t>main</w:t>
      </w:r>
      <w:r>
        <w:rPr>
          <w:rFonts w:ascii="Times New Roman" w:eastAsia="Times New Roman" w:hAnsi="Times New Roman" w:cs="Times New Roman"/>
          <w:color w:val="181717"/>
          <w:sz w:val="23"/>
        </w:rPr>
        <w:tab/>
        <w:t>directions</w:t>
      </w:r>
      <w:r>
        <w:rPr>
          <w:rFonts w:ascii="Times New Roman" w:eastAsia="Times New Roman" w:hAnsi="Times New Roman" w:cs="Times New Roman"/>
          <w:color w:val="181717"/>
          <w:sz w:val="23"/>
        </w:rPr>
        <w:tab/>
        <w:t>of</w:t>
      </w:r>
      <w:r>
        <w:rPr>
          <w:rFonts w:ascii="Times New Roman" w:eastAsia="Times New Roman" w:hAnsi="Times New Roman" w:cs="Times New Roman"/>
          <w:color w:val="181717"/>
          <w:sz w:val="23"/>
        </w:rPr>
        <w:tab/>
        <w:t>International</w:t>
      </w:r>
      <w:r>
        <w:rPr>
          <w:rFonts w:ascii="Times New Roman" w:eastAsia="Times New Roman" w:hAnsi="Times New Roman" w:cs="Times New Roman"/>
          <w:color w:val="181717"/>
          <w:sz w:val="23"/>
        </w:rPr>
        <w:tab/>
        <w:t>Policies (with particular reference to the WHO European Region) for the promotion and protection of migrants’ health;</w:t>
      </w:r>
    </w:p>
    <w:p w:rsidR="00F04C47" w:rsidRDefault="006058C6">
      <w:pPr>
        <w:numPr>
          <w:ilvl w:val="0"/>
          <w:numId w:val="2"/>
        </w:numPr>
        <w:spacing w:after="3" w:line="225" w:lineRule="auto"/>
        <w:ind w:right="46" w:firstLine="273"/>
        <w:jc w:val="both"/>
      </w:pPr>
      <w:r>
        <w:rPr>
          <w:rFonts w:ascii="Times New Roman" w:eastAsia="Times New Roman" w:hAnsi="Times New Roman" w:cs="Times New Roman"/>
          <w:color w:val="181717"/>
          <w:sz w:val="23"/>
        </w:rPr>
        <w:t>epidemiological</w:t>
      </w:r>
      <w:r>
        <w:rPr>
          <w:rFonts w:ascii="Times New Roman" w:eastAsia="Times New Roman" w:hAnsi="Times New Roman" w:cs="Times New Roman"/>
          <w:color w:val="181717"/>
          <w:sz w:val="23"/>
        </w:rPr>
        <w:tab/>
        <w:t>considerations</w:t>
      </w:r>
      <w:r>
        <w:rPr>
          <w:rFonts w:ascii="Times New Roman" w:eastAsia="Times New Roman" w:hAnsi="Times New Roman" w:cs="Times New Roman"/>
          <w:color w:val="181717"/>
          <w:sz w:val="23"/>
        </w:rPr>
        <w:tab/>
        <w:t>on</w:t>
      </w:r>
      <w:r>
        <w:rPr>
          <w:rFonts w:ascii="Times New Roman" w:eastAsia="Times New Roman" w:hAnsi="Times New Roman" w:cs="Times New Roman"/>
          <w:color w:val="181717"/>
          <w:sz w:val="23"/>
        </w:rPr>
        <w:tab/>
        <w:t>the</w:t>
      </w:r>
      <w:r>
        <w:rPr>
          <w:rFonts w:ascii="Times New Roman" w:eastAsia="Times New Roman" w:hAnsi="Times New Roman" w:cs="Times New Roman"/>
          <w:color w:val="181717"/>
          <w:sz w:val="23"/>
        </w:rPr>
        <w:tab/>
        <w:t>health o</w:t>
      </w:r>
      <w:r>
        <w:rPr>
          <w:rFonts w:ascii="Times New Roman" w:eastAsia="Times New Roman" w:hAnsi="Times New Roman" w:cs="Times New Roman"/>
          <w:color w:val="181717"/>
          <w:sz w:val="23"/>
        </w:rPr>
        <w:t xml:space="preserve">f different types of migrants and in </w:t>
      </w:r>
    </w:p>
    <w:p w:rsidR="00F04C47" w:rsidRDefault="006058C6">
      <w:pPr>
        <w:spacing w:after="33" w:line="225" w:lineRule="auto"/>
        <w:ind w:right="46"/>
        <w:jc w:val="both"/>
      </w:pPr>
      <w:r>
        <w:rPr>
          <w:rFonts w:ascii="Times New Roman" w:eastAsia="Times New Roman" w:hAnsi="Times New Roman" w:cs="Times New Roman"/>
          <w:color w:val="181717"/>
          <w:sz w:val="23"/>
        </w:rPr>
        <w:t>different generations;</w:t>
      </w:r>
    </w:p>
    <w:p w:rsidR="00F04C47" w:rsidRDefault="006058C6">
      <w:pPr>
        <w:numPr>
          <w:ilvl w:val="0"/>
          <w:numId w:val="2"/>
        </w:numPr>
        <w:spacing w:after="3" w:line="225" w:lineRule="auto"/>
        <w:ind w:right="46" w:firstLine="273"/>
        <w:jc w:val="both"/>
      </w:pPr>
      <w:r>
        <w:rPr>
          <w:rFonts w:ascii="Times New Roman" w:eastAsia="Times New Roman" w:hAnsi="Times New Roman" w:cs="Times New Roman"/>
          <w:color w:val="181717"/>
          <w:sz w:val="23"/>
        </w:rPr>
        <w:t>guidelines</w:t>
      </w:r>
      <w:r>
        <w:rPr>
          <w:rFonts w:ascii="Times New Roman" w:eastAsia="Times New Roman" w:hAnsi="Times New Roman" w:cs="Times New Roman"/>
          <w:color w:val="181717"/>
          <w:sz w:val="23"/>
        </w:rPr>
        <w:tab/>
        <w:t>for</w:t>
      </w:r>
      <w:r>
        <w:rPr>
          <w:rFonts w:ascii="Times New Roman" w:eastAsia="Times New Roman" w:hAnsi="Times New Roman" w:cs="Times New Roman"/>
          <w:color w:val="181717"/>
          <w:sz w:val="23"/>
        </w:rPr>
        <w:tab/>
        <w:t>the</w:t>
      </w:r>
      <w:r>
        <w:rPr>
          <w:rFonts w:ascii="Times New Roman" w:eastAsia="Times New Roman" w:hAnsi="Times New Roman" w:cs="Times New Roman"/>
          <w:color w:val="181717"/>
          <w:sz w:val="23"/>
        </w:rPr>
        <w:tab/>
        <w:t>clinical</w:t>
      </w:r>
      <w:r>
        <w:rPr>
          <w:rFonts w:ascii="Times New Roman" w:eastAsia="Times New Roman" w:hAnsi="Times New Roman" w:cs="Times New Roman"/>
          <w:color w:val="181717"/>
          <w:sz w:val="23"/>
        </w:rPr>
        <w:tab/>
        <w:t>approach</w:t>
      </w:r>
      <w:r>
        <w:rPr>
          <w:rFonts w:ascii="Times New Roman" w:eastAsia="Times New Roman" w:hAnsi="Times New Roman" w:cs="Times New Roman"/>
          <w:color w:val="181717"/>
          <w:sz w:val="23"/>
        </w:rPr>
        <w:tab/>
        <w:t>(with particular reference to relational aspects) to the migrant;</w:t>
      </w:r>
    </w:p>
    <w:p w:rsidR="00F04C47" w:rsidRDefault="006058C6">
      <w:pPr>
        <w:numPr>
          <w:ilvl w:val="0"/>
          <w:numId w:val="2"/>
        </w:numPr>
        <w:spacing w:after="0" w:line="225" w:lineRule="auto"/>
        <w:ind w:right="46" w:firstLine="273"/>
        <w:jc w:val="both"/>
      </w:pPr>
      <w:r>
        <w:rPr>
          <w:rFonts w:ascii="Times New Roman" w:eastAsia="Times New Roman" w:hAnsi="Times New Roman" w:cs="Times New Roman"/>
          <w:color w:val="181717"/>
          <w:sz w:val="23"/>
        </w:rPr>
        <w:t>policies</w:t>
      </w:r>
      <w:r>
        <w:rPr>
          <w:rFonts w:ascii="Times New Roman" w:eastAsia="Times New Roman" w:hAnsi="Times New Roman" w:cs="Times New Roman"/>
          <w:color w:val="181717"/>
          <w:sz w:val="23"/>
        </w:rPr>
        <w:tab/>
        <w:t>and</w:t>
      </w:r>
      <w:r>
        <w:rPr>
          <w:rFonts w:ascii="Times New Roman" w:eastAsia="Times New Roman" w:hAnsi="Times New Roman" w:cs="Times New Roman"/>
          <w:color w:val="181717"/>
          <w:sz w:val="23"/>
        </w:rPr>
        <w:tab/>
        <w:t>legislation</w:t>
      </w:r>
      <w:r>
        <w:rPr>
          <w:rFonts w:ascii="Times New Roman" w:eastAsia="Times New Roman" w:hAnsi="Times New Roman" w:cs="Times New Roman"/>
          <w:color w:val="181717"/>
          <w:sz w:val="23"/>
        </w:rPr>
        <w:tab/>
        <w:t>for</w:t>
      </w:r>
      <w:r>
        <w:rPr>
          <w:rFonts w:ascii="Times New Roman" w:eastAsia="Times New Roman" w:hAnsi="Times New Roman" w:cs="Times New Roman"/>
          <w:color w:val="181717"/>
          <w:sz w:val="23"/>
        </w:rPr>
        <w:tab/>
        <w:t>migrant</w:t>
      </w:r>
      <w:r>
        <w:rPr>
          <w:rFonts w:ascii="Times New Roman" w:eastAsia="Times New Roman" w:hAnsi="Times New Roman" w:cs="Times New Roman"/>
          <w:color w:val="181717"/>
          <w:sz w:val="23"/>
        </w:rPr>
        <w:tab/>
        <w:t>care at national and local level;</w:t>
      </w:r>
    </w:p>
    <w:p w:rsidR="00F04C47" w:rsidRDefault="006058C6">
      <w:pPr>
        <w:numPr>
          <w:ilvl w:val="0"/>
          <w:numId w:val="2"/>
        </w:numPr>
        <w:spacing w:after="3" w:line="225" w:lineRule="auto"/>
        <w:ind w:right="46" w:firstLine="273"/>
        <w:jc w:val="both"/>
      </w:pPr>
      <w:r>
        <w:rPr>
          <w:rFonts w:ascii="Times New Roman" w:eastAsia="Times New Roman" w:hAnsi="Times New Roman" w:cs="Times New Roman"/>
          <w:color w:val="181717"/>
          <w:sz w:val="23"/>
        </w:rPr>
        <w:t>strategies,</w:t>
      </w:r>
      <w:r>
        <w:rPr>
          <w:rFonts w:ascii="Times New Roman" w:eastAsia="Times New Roman" w:hAnsi="Times New Roman" w:cs="Times New Roman"/>
          <w:color w:val="181717"/>
          <w:sz w:val="23"/>
        </w:rPr>
        <w:tab/>
        <w:t>models</w:t>
      </w:r>
      <w:r>
        <w:rPr>
          <w:rFonts w:ascii="Times New Roman" w:eastAsia="Times New Roman" w:hAnsi="Times New Roman" w:cs="Times New Roman"/>
          <w:color w:val="181717"/>
          <w:sz w:val="23"/>
        </w:rPr>
        <w:tab/>
        <w:t>and</w:t>
      </w:r>
      <w:r>
        <w:rPr>
          <w:rFonts w:ascii="Times New Roman" w:eastAsia="Times New Roman" w:hAnsi="Times New Roman" w:cs="Times New Roman"/>
          <w:color w:val="181717"/>
          <w:sz w:val="23"/>
        </w:rPr>
        <w:tab/>
        <w:t>experiences</w:t>
      </w:r>
      <w:r>
        <w:rPr>
          <w:rFonts w:ascii="Times New Roman" w:eastAsia="Times New Roman" w:hAnsi="Times New Roman" w:cs="Times New Roman"/>
          <w:color w:val="181717"/>
          <w:sz w:val="23"/>
        </w:rPr>
        <w:tab/>
        <w:t>for a ‘proximity’ public health approach (understood as the ability to reach people where they live or work);</w:t>
      </w:r>
    </w:p>
    <w:p w:rsidR="00F04C47" w:rsidRDefault="006058C6">
      <w:pPr>
        <w:numPr>
          <w:ilvl w:val="0"/>
          <w:numId w:val="2"/>
        </w:numPr>
        <w:spacing w:after="3" w:line="225" w:lineRule="auto"/>
        <w:ind w:right="46" w:firstLine="273"/>
        <w:jc w:val="both"/>
      </w:pPr>
      <w:r>
        <w:rPr>
          <w:rFonts w:ascii="Times New Roman" w:eastAsia="Times New Roman" w:hAnsi="Times New Roman" w:cs="Times New Roman"/>
          <w:color w:val="181717"/>
          <w:sz w:val="23"/>
        </w:rPr>
        <w:t>training</w:t>
      </w:r>
      <w:r>
        <w:rPr>
          <w:rFonts w:ascii="Times New Roman" w:eastAsia="Times New Roman" w:hAnsi="Times New Roman" w:cs="Times New Roman"/>
          <w:color w:val="181717"/>
          <w:sz w:val="23"/>
        </w:rPr>
        <w:tab/>
        <w:t>needs</w:t>
      </w:r>
      <w:r>
        <w:rPr>
          <w:rFonts w:ascii="Times New Roman" w:eastAsia="Times New Roman" w:hAnsi="Times New Roman" w:cs="Times New Roman"/>
          <w:color w:val="181717"/>
          <w:sz w:val="23"/>
        </w:rPr>
        <w:tab/>
        <w:t>for</w:t>
      </w:r>
      <w:r>
        <w:rPr>
          <w:rFonts w:ascii="Times New Roman" w:eastAsia="Times New Roman" w:hAnsi="Times New Roman" w:cs="Times New Roman"/>
          <w:color w:val="181717"/>
          <w:sz w:val="23"/>
        </w:rPr>
        <w:tab/>
        <w:t>health</w:t>
      </w:r>
      <w:r>
        <w:rPr>
          <w:rFonts w:ascii="Times New Roman" w:eastAsia="Times New Roman" w:hAnsi="Times New Roman" w:cs="Times New Roman"/>
          <w:color w:val="181717"/>
          <w:sz w:val="23"/>
        </w:rPr>
        <w:tab/>
        <w:t>professionals:</w:t>
      </w:r>
      <w:r>
        <w:rPr>
          <w:rFonts w:ascii="Times New Roman" w:eastAsia="Times New Roman" w:hAnsi="Times New Roman" w:cs="Times New Roman"/>
          <w:color w:val="181717"/>
          <w:sz w:val="23"/>
        </w:rPr>
        <w:tab/>
        <w:t>the challenge of sensitivity to differences;</w:t>
      </w:r>
    </w:p>
    <w:p w:rsidR="00F04C47" w:rsidRDefault="006058C6">
      <w:pPr>
        <w:numPr>
          <w:ilvl w:val="0"/>
          <w:numId w:val="2"/>
        </w:numPr>
        <w:spacing w:after="3" w:line="225" w:lineRule="auto"/>
        <w:ind w:right="46" w:firstLine="273"/>
        <w:jc w:val="both"/>
      </w:pPr>
      <w:r>
        <w:rPr>
          <w:rFonts w:ascii="Times New Roman" w:eastAsia="Times New Roman" w:hAnsi="Times New Roman" w:cs="Times New Roman"/>
          <w:color w:val="181717"/>
          <w:sz w:val="23"/>
        </w:rPr>
        <w:t>guidelines</w:t>
      </w:r>
      <w:r>
        <w:rPr>
          <w:rFonts w:ascii="Times New Roman" w:eastAsia="Times New Roman" w:hAnsi="Times New Roman" w:cs="Times New Roman"/>
          <w:color w:val="181717"/>
          <w:sz w:val="23"/>
        </w:rPr>
        <w:tab/>
        <w:t>for</w:t>
      </w:r>
      <w:r>
        <w:rPr>
          <w:rFonts w:ascii="Times New Roman" w:eastAsia="Times New Roman" w:hAnsi="Times New Roman" w:cs="Times New Roman"/>
          <w:color w:val="181717"/>
          <w:sz w:val="23"/>
        </w:rPr>
        <w:tab/>
        <w:t>correct</w:t>
      </w:r>
      <w:r>
        <w:rPr>
          <w:rFonts w:ascii="Times New Roman" w:eastAsia="Times New Roman" w:hAnsi="Times New Roman" w:cs="Times New Roman"/>
          <w:color w:val="181717"/>
          <w:sz w:val="23"/>
        </w:rPr>
        <w:tab/>
        <w:t>an</w:t>
      </w:r>
      <w:r>
        <w:rPr>
          <w:rFonts w:ascii="Times New Roman" w:eastAsia="Times New Roman" w:hAnsi="Times New Roman" w:cs="Times New Roman"/>
          <w:color w:val="181717"/>
          <w:sz w:val="23"/>
        </w:rPr>
        <w:t>d</w:t>
      </w:r>
      <w:r>
        <w:rPr>
          <w:rFonts w:ascii="Times New Roman" w:eastAsia="Times New Roman" w:hAnsi="Times New Roman" w:cs="Times New Roman"/>
          <w:color w:val="181717"/>
          <w:sz w:val="23"/>
        </w:rPr>
        <w:tab/>
        <w:t>comprehen-sible public communication on migrants’ health.</w:t>
      </w:r>
    </w:p>
    <w:p w:rsidR="00F04C47" w:rsidRDefault="006058C6">
      <w:pPr>
        <w:spacing w:after="3" w:line="225" w:lineRule="auto"/>
        <w:ind w:right="172" w:firstLine="273"/>
        <w:jc w:val="both"/>
      </w:pPr>
      <w:r>
        <w:rPr>
          <w:rFonts w:ascii="Times New Roman" w:eastAsia="Times New Roman" w:hAnsi="Times New Roman" w:cs="Times New Roman"/>
          <w:color w:val="181717"/>
          <w:sz w:val="23"/>
        </w:rPr>
        <w:t>A total of 101 people took part in the Course in a mix of in-presence and remote (almost all lecturers in presence, 40% of learners in presence); these people have the following roles and affiliations: doctors, researchers, academics, directors, managers a</w:t>
      </w:r>
      <w:r>
        <w:rPr>
          <w:rFonts w:ascii="Times New Roman" w:eastAsia="Times New Roman" w:hAnsi="Times New Roman" w:cs="Times New Roman"/>
          <w:color w:val="181717"/>
          <w:sz w:val="23"/>
        </w:rPr>
        <w:t>nd practitioners in the social and health sector at international, national and local level.</w:t>
      </w:r>
    </w:p>
    <w:p w:rsidR="00F04C47" w:rsidRDefault="006058C6">
      <w:pPr>
        <w:spacing w:after="250" w:line="225" w:lineRule="auto"/>
        <w:ind w:right="171" w:firstLine="273"/>
        <w:jc w:val="both"/>
      </w:pPr>
      <w:r>
        <w:rPr>
          <w:rFonts w:ascii="Times New Roman" w:eastAsia="Times New Roman" w:hAnsi="Times New Roman" w:cs="Times New Roman"/>
          <w:color w:val="181717"/>
          <w:sz w:val="23"/>
        </w:rPr>
        <w:t>It should be noted that: 1) the Course took place in a particular historical-political moment as, due to the Russia-Ukraine war, the migration phenomenon fuelled b</w:t>
      </w:r>
      <w:r>
        <w:rPr>
          <w:rFonts w:ascii="Times New Roman" w:eastAsia="Times New Roman" w:hAnsi="Times New Roman" w:cs="Times New Roman"/>
          <w:color w:val="181717"/>
          <w:sz w:val="23"/>
        </w:rPr>
        <w:t>y international protection seekers was expected to assume significant proportions also in Italy in the near future; 2) with respect to the Erice Charter resulting from the Course there is a specific historical precedent dating back to 2001 (4).</w:t>
      </w:r>
    </w:p>
    <w:p w:rsidR="00F04C47" w:rsidRDefault="006058C6">
      <w:pPr>
        <w:spacing w:after="0"/>
        <w:ind w:left="-5" w:right="44" w:hanging="10"/>
        <w:jc w:val="both"/>
      </w:pPr>
      <w:r>
        <w:rPr>
          <w:rFonts w:ascii="Times New Roman" w:eastAsia="Times New Roman" w:hAnsi="Times New Roman" w:cs="Times New Roman"/>
          <w:i/>
          <w:color w:val="181717"/>
          <w:sz w:val="23"/>
        </w:rPr>
        <w:t>Aims</w:t>
      </w:r>
    </w:p>
    <w:p w:rsidR="00F04C47" w:rsidRDefault="006058C6">
      <w:pPr>
        <w:spacing w:after="250" w:line="225" w:lineRule="auto"/>
        <w:ind w:right="170" w:firstLine="273"/>
        <w:jc w:val="both"/>
      </w:pPr>
      <w:r>
        <w:rPr>
          <w:rFonts w:ascii="Times New Roman" w:eastAsia="Times New Roman" w:hAnsi="Times New Roman" w:cs="Times New Roman"/>
          <w:color w:val="181717"/>
          <w:sz w:val="23"/>
        </w:rPr>
        <w:t>The De</w:t>
      </w:r>
      <w:r>
        <w:rPr>
          <w:rFonts w:ascii="Times New Roman" w:eastAsia="Times New Roman" w:hAnsi="Times New Roman" w:cs="Times New Roman"/>
          <w:color w:val="181717"/>
          <w:sz w:val="23"/>
        </w:rPr>
        <w:t>claration is addressed to different public and private, collective and individual actors, in order to urge their commitment to promoting equity in health and care for refugees and migrants, according to the guidelines included in the draft Global Plan of A</w:t>
      </w:r>
      <w:r>
        <w:rPr>
          <w:rFonts w:ascii="Times New Roman" w:eastAsia="Times New Roman" w:hAnsi="Times New Roman" w:cs="Times New Roman"/>
          <w:color w:val="181717"/>
          <w:sz w:val="23"/>
        </w:rPr>
        <w:t>ction 2019-2023 approved by the 72nd World Health Assembly (5). It is especially addressed to: the world of politics and in particular to decisionmakers; public institutions with particular reference to those working in the health and social sectors; unive</w:t>
      </w:r>
      <w:r>
        <w:rPr>
          <w:rFonts w:ascii="Times New Roman" w:eastAsia="Times New Roman" w:hAnsi="Times New Roman" w:cs="Times New Roman"/>
          <w:color w:val="181717"/>
          <w:sz w:val="23"/>
        </w:rPr>
        <w:t>rsities and other educational agencies; research bodies; scientific societies; professional bodies; the Media; migrant communities; civil society organisations and individuals.</w:t>
      </w:r>
    </w:p>
    <w:p w:rsidR="00F04C47" w:rsidRDefault="006058C6">
      <w:pPr>
        <w:spacing w:after="0"/>
        <w:ind w:left="-5" w:right="44" w:hanging="10"/>
        <w:jc w:val="both"/>
      </w:pPr>
      <w:r>
        <w:rPr>
          <w:rFonts w:ascii="Times New Roman" w:eastAsia="Times New Roman" w:hAnsi="Times New Roman" w:cs="Times New Roman"/>
          <w:i/>
          <w:color w:val="181717"/>
          <w:sz w:val="23"/>
        </w:rPr>
        <w:t>The key points</w:t>
      </w:r>
    </w:p>
    <w:p w:rsidR="00F04C47" w:rsidRDefault="006058C6">
      <w:pPr>
        <w:spacing w:after="3" w:line="225" w:lineRule="auto"/>
        <w:ind w:right="172" w:firstLine="273"/>
        <w:jc w:val="both"/>
      </w:pPr>
      <w:r>
        <w:rPr>
          <w:rFonts w:ascii="Times New Roman" w:eastAsia="Times New Roman" w:hAnsi="Times New Roman" w:cs="Times New Roman"/>
          <w:color w:val="181717"/>
          <w:sz w:val="23"/>
        </w:rPr>
        <w:t>The Declaration is basically structured in two parts: I) premise</w:t>
      </w:r>
      <w:r>
        <w:rPr>
          <w:rFonts w:ascii="Times New Roman" w:eastAsia="Times New Roman" w:hAnsi="Times New Roman" w:cs="Times New Roman"/>
          <w:color w:val="181717"/>
          <w:sz w:val="23"/>
        </w:rPr>
        <w:t>s, acknowledgements, assumptions of awareness and background statements/underlining; II) wishes, recommendations, warnings, solicitations and requests.</w:t>
      </w:r>
    </w:p>
    <w:p w:rsidR="00F04C47" w:rsidRDefault="006058C6">
      <w:pPr>
        <w:spacing w:after="3" w:line="225" w:lineRule="auto"/>
        <w:ind w:left="170" w:right="46" w:firstLine="273"/>
        <w:jc w:val="both"/>
      </w:pPr>
      <w:r>
        <w:rPr>
          <w:rFonts w:ascii="Times New Roman" w:eastAsia="Times New Roman" w:hAnsi="Times New Roman" w:cs="Times New Roman"/>
          <w:color w:val="181717"/>
          <w:sz w:val="23"/>
        </w:rPr>
        <w:t>The proposals contained in the Declaration essentially concern a strong call for an evidence-based appro</w:t>
      </w:r>
      <w:r>
        <w:rPr>
          <w:rFonts w:ascii="Times New Roman" w:eastAsia="Times New Roman" w:hAnsi="Times New Roman" w:cs="Times New Roman"/>
          <w:color w:val="181717"/>
          <w:sz w:val="23"/>
        </w:rPr>
        <w:t>ach; the call for the activation of intersectoral and health promotion policies, also through the gradual dissemination of innovative ‘proximity’ public health approaches for ‘hard to reach’ groups; the fight against inequalities in health and care, also t</w:t>
      </w:r>
      <w:r>
        <w:rPr>
          <w:rFonts w:ascii="Times New Roman" w:eastAsia="Times New Roman" w:hAnsi="Times New Roman" w:cs="Times New Roman"/>
          <w:color w:val="181717"/>
          <w:sz w:val="23"/>
        </w:rPr>
        <w:t>hrough the use of the ‘Health Equity Audit’; an effort to improve quality in the collection and provision of key health / health care data / variables of interest and for their integrated use; greater stability of interventions aimed at migrants and refuge</w:t>
      </w:r>
      <w:r>
        <w:rPr>
          <w:rFonts w:ascii="Times New Roman" w:eastAsia="Times New Roman" w:hAnsi="Times New Roman" w:cs="Times New Roman"/>
          <w:color w:val="181717"/>
          <w:sz w:val="23"/>
        </w:rPr>
        <w:t>es by avoiding their discontinuation when funding for specific projects ceases; a strong call for an effective system governance capable of overcoming the territorial fragmentation and inhomogeneity in the application of rules and pathways by public health</w:t>
      </w:r>
      <w:r>
        <w:rPr>
          <w:rFonts w:ascii="Times New Roman" w:eastAsia="Times New Roman" w:hAnsi="Times New Roman" w:cs="Times New Roman"/>
          <w:color w:val="181717"/>
          <w:sz w:val="23"/>
        </w:rPr>
        <w:t xml:space="preserve"> services (which produce barriers to access and use of assistance); special attention to the promotion and protection of minors’ health; a progressive and more widespread ‘sensitivity to differences’ in the public health system; greater accuracy and fairne</w:t>
      </w:r>
      <w:r>
        <w:rPr>
          <w:rFonts w:ascii="Times New Roman" w:eastAsia="Times New Roman" w:hAnsi="Times New Roman" w:cs="Times New Roman"/>
          <w:color w:val="181717"/>
          <w:sz w:val="23"/>
        </w:rPr>
        <w:t>ss on the part of the Mass Media, to remove prejudices and false alarmism capable of generating discrimination.</w:t>
      </w:r>
    </w:p>
    <w:p w:rsidR="00F04C47" w:rsidRDefault="006058C6">
      <w:pPr>
        <w:spacing w:after="538" w:line="225" w:lineRule="auto"/>
        <w:ind w:left="170" w:right="46" w:firstLine="273"/>
        <w:jc w:val="both"/>
      </w:pPr>
      <w:r>
        <w:rPr>
          <w:rFonts w:ascii="Times New Roman" w:eastAsia="Times New Roman" w:hAnsi="Times New Roman" w:cs="Times New Roman"/>
          <w:color w:val="181717"/>
          <w:sz w:val="23"/>
        </w:rPr>
        <w:t>The process that led to the final Declaration can be summarised as follows: the draft was prepared by a small group of organisers on the basis o</w:t>
      </w:r>
      <w:r>
        <w:rPr>
          <w:rFonts w:ascii="Times New Roman" w:eastAsia="Times New Roman" w:hAnsi="Times New Roman" w:cs="Times New Roman"/>
          <w:color w:val="181717"/>
          <w:sz w:val="23"/>
        </w:rPr>
        <w:t>f concise contributions proposed by the various lecturers/speakers; the advanced draft was then presented and discussed during a concluding half-day of work; the text was corrected and circulated for a few weeks after the Course in order to acquire any pro</w:t>
      </w:r>
      <w:r>
        <w:rPr>
          <w:rFonts w:ascii="Times New Roman" w:eastAsia="Times New Roman" w:hAnsi="Times New Roman" w:cs="Times New Roman"/>
          <w:color w:val="181717"/>
          <w:sz w:val="23"/>
        </w:rPr>
        <w:t>posals for amendment; the Declaration was then signed by 101 of the lecturers and participants in the training event; in the following period, it was also opened to external persons who had not taken part in the Course, in particular by publicising it on t</w:t>
      </w:r>
      <w:r>
        <w:rPr>
          <w:rFonts w:ascii="Times New Roman" w:eastAsia="Times New Roman" w:hAnsi="Times New Roman" w:cs="Times New Roman"/>
          <w:color w:val="181717"/>
          <w:sz w:val="23"/>
        </w:rPr>
        <w:t>he website of the Italian Society of Migration Medicine, gathering the signatures of a further 85 people.</w:t>
      </w:r>
    </w:p>
    <w:p w:rsidR="00F04C47" w:rsidRDefault="006058C6">
      <w:pPr>
        <w:pStyle w:val="Heading1"/>
        <w:ind w:left="-14" w:right="-14"/>
      </w:pPr>
      <w:r>
        <w:t xml:space="preserve"> The text of the Charter</w:t>
      </w:r>
    </w:p>
    <w:p w:rsidR="00F04C47" w:rsidRDefault="006058C6">
      <w:pPr>
        <w:shd w:val="clear" w:color="auto" w:fill="D1E9F5"/>
        <w:spacing w:after="3" w:line="225" w:lineRule="auto"/>
        <w:ind w:left="-14" w:right="-14" w:firstLine="273"/>
        <w:jc w:val="both"/>
      </w:pPr>
      <w:r>
        <w:rPr>
          <w:rFonts w:ascii="Times New Roman" w:eastAsia="Times New Roman" w:hAnsi="Times New Roman" w:cs="Times New Roman"/>
          <w:color w:val="181717"/>
          <w:sz w:val="23"/>
        </w:rPr>
        <w:t>We, the undersigned, researchers, academics, directors, managers, medical doctors, and social and health workers at the natio</w:t>
      </w:r>
      <w:r>
        <w:rPr>
          <w:rFonts w:ascii="Times New Roman" w:eastAsia="Times New Roman" w:hAnsi="Times New Roman" w:cs="Times New Roman"/>
          <w:color w:val="181717"/>
          <w:sz w:val="23"/>
        </w:rPr>
        <w:t xml:space="preserve">nal and local level, students and lecturers of the course “THE HEALTH OF MIGRANTS: A CHALLENGE OF EQUITY FOR THE PUBLIC HEALTH </w:t>
      </w:r>
    </w:p>
    <w:p w:rsidR="00F04C47" w:rsidRDefault="006058C6">
      <w:pPr>
        <w:shd w:val="clear" w:color="auto" w:fill="D1E9F5"/>
        <w:spacing w:after="3" w:line="225" w:lineRule="auto"/>
        <w:ind w:left="-14" w:right="-14"/>
        <w:jc w:val="both"/>
      </w:pPr>
      <w:r>
        <w:rPr>
          <w:rFonts w:ascii="Times New Roman" w:eastAsia="Times New Roman" w:hAnsi="Times New Roman" w:cs="Times New Roman"/>
          <w:color w:val="181717"/>
          <w:sz w:val="23"/>
        </w:rPr>
        <w:t>SYSTEM”, an event sponsored by the Italian Society of Migration Medicine (SIMM), the Italian Society of Hygiene, Preventive Medicine and Public Health (SItI) and the Istituto Superiore di Sanità (ISS) and held at the “High School of Epidemiology and Preven</w:t>
      </w:r>
      <w:r>
        <w:rPr>
          <w:rFonts w:ascii="Times New Roman" w:eastAsia="Times New Roman" w:hAnsi="Times New Roman" w:cs="Times New Roman"/>
          <w:color w:val="181717"/>
          <w:sz w:val="23"/>
        </w:rPr>
        <w:t>tive Medicine” of the “Ettore Majorana Foundation and Centre for Scientific Culture” of Erice (Sicily) from 28 March to 2 April 2022:</w:t>
      </w:r>
    </w:p>
    <w:p w:rsidR="00F04C47" w:rsidRDefault="006058C6">
      <w:pPr>
        <w:numPr>
          <w:ilvl w:val="0"/>
          <w:numId w:val="3"/>
        </w:numPr>
        <w:shd w:val="clear" w:color="auto" w:fill="D1E9F5"/>
        <w:spacing w:after="3" w:line="225" w:lineRule="auto"/>
        <w:ind w:left="-14" w:right="-14" w:firstLine="273"/>
        <w:jc w:val="both"/>
      </w:pPr>
      <w:r>
        <w:rPr>
          <w:rFonts w:ascii="Times New Roman" w:eastAsia="Times New Roman" w:hAnsi="Times New Roman" w:cs="Times New Roman"/>
          <w:color w:val="181717"/>
          <w:sz w:val="23"/>
        </w:rPr>
        <w:t>acknowledging that people of foreign origin or with a migratory background represent a structural and significant componen</w:t>
      </w:r>
      <w:r>
        <w:rPr>
          <w:rFonts w:ascii="Times New Roman" w:eastAsia="Times New Roman" w:hAnsi="Times New Roman" w:cs="Times New Roman"/>
          <w:color w:val="181717"/>
          <w:sz w:val="23"/>
        </w:rPr>
        <w:t>t of the population present in Italy, which actively makes a significant contribution in cultural, social and economic terms for the benefit of the entire community, and which must be systematically considered within the health policies aimed at the entire</w:t>
      </w:r>
      <w:r>
        <w:rPr>
          <w:rFonts w:ascii="Times New Roman" w:eastAsia="Times New Roman" w:hAnsi="Times New Roman" w:cs="Times New Roman"/>
          <w:color w:val="181717"/>
          <w:sz w:val="23"/>
        </w:rPr>
        <w:t xml:space="preserve"> population from an equity perspective;</w:t>
      </w:r>
    </w:p>
    <w:p w:rsidR="00F04C47" w:rsidRDefault="006058C6">
      <w:pPr>
        <w:numPr>
          <w:ilvl w:val="0"/>
          <w:numId w:val="3"/>
        </w:numPr>
        <w:shd w:val="clear" w:color="auto" w:fill="D1E9F5"/>
        <w:spacing w:after="3" w:line="225" w:lineRule="auto"/>
        <w:ind w:left="-14" w:right="-14" w:firstLine="273"/>
        <w:jc w:val="both"/>
      </w:pPr>
      <w:r>
        <w:rPr>
          <w:rFonts w:ascii="Times New Roman" w:eastAsia="Times New Roman" w:hAnsi="Times New Roman" w:cs="Times New Roman"/>
          <w:color w:val="181717"/>
          <w:sz w:val="23"/>
        </w:rPr>
        <w:t>aware that the COVID-19 pandemic, which is still ongoing, has highlighted specific vulnerabilities and exacerbated pre-existing inequalities, including those affecting migrants, demonstrating that public health inter</w:t>
      </w:r>
      <w:r>
        <w:rPr>
          <w:rFonts w:ascii="Times New Roman" w:eastAsia="Times New Roman" w:hAnsi="Times New Roman" w:cs="Times New Roman"/>
          <w:color w:val="181717"/>
          <w:sz w:val="23"/>
        </w:rPr>
        <w:t>ventions - that programmatically include them - increase the protection of the entire community in a Global Health perspective;</w:t>
      </w:r>
    </w:p>
    <w:p w:rsidR="00F04C47" w:rsidRDefault="006058C6">
      <w:pPr>
        <w:numPr>
          <w:ilvl w:val="0"/>
          <w:numId w:val="3"/>
        </w:numPr>
        <w:shd w:val="clear" w:color="auto" w:fill="D1E9F5"/>
        <w:spacing w:after="3" w:line="225" w:lineRule="auto"/>
        <w:ind w:left="-14" w:right="-14" w:firstLine="273"/>
        <w:jc w:val="both"/>
      </w:pPr>
      <w:r>
        <w:rPr>
          <w:rFonts w:ascii="Times New Roman" w:eastAsia="Times New Roman" w:hAnsi="Times New Roman" w:cs="Times New Roman"/>
          <w:color w:val="181717"/>
          <w:sz w:val="23"/>
        </w:rPr>
        <w:t>being concerned about the repercussions linked to the numerous and serious war conflicts being waged around the world, which, to</w:t>
      </w:r>
      <w:r>
        <w:rPr>
          <w:rFonts w:ascii="Times New Roman" w:eastAsia="Times New Roman" w:hAnsi="Times New Roman" w:cs="Times New Roman"/>
          <w:color w:val="181717"/>
          <w:sz w:val="23"/>
        </w:rPr>
        <w:t xml:space="preserve">gether with the burden of death, violence and despair, often produce huge </w:t>
      </w:r>
    </w:p>
    <w:p w:rsidR="00F04C47" w:rsidRDefault="00F04C47">
      <w:pPr>
        <w:sectPr w:rsidR="00F04C47">
          <w:type w:val="continuous"/>
          <w:pgSz w:w="10205" w:h="14740"/>
          <w:pgMar w:top="1664" w:right="847" w:bottom="1271" w:left="850" w:header="720" w:footer="720" w:gutter="0"/>
          <w:cols w:num="2" w:space="340"/>
        </w:sectPr>
      </w:pPr>
    </w:p>
    <w:p w:rsidR="00F04C47" w:rsidRDefault="00F04C47">
      <w:pPr>
        <w:spacing w:after="0"/>
        <w:ind w:left="-850" w:right="170"/>
      </w:pPr>
    </w:p>
    <w:tbl>
      <w:tblPr>
        <w:tblStyle w:val="TableGrid"/>
        <w:tblW w:w="8334" w:type="dxa"/>
        <w:tblInd w:w="0" w:type="dxa"/>
        <w:tblCellMar>
          <w:top w:w="0" w:type="dxa"/>
          <w:left w:w="0" w:type="dxa"/>
          <w:bottom w:w="104" w:type="dxa"/>
          <w:right w:w="0" w:type="dxa"/>
        </w:tblCellMar>
        <w:tblLook w:val="04A0" w:firstRow="1" w:lastRow="0" w:firstColumn="1" w:lastColumn="0" w:noHBand="0" w:noVBand="1"/>
      </w:tblPr>
      <w:tblGrid>
        <w:gridCol w:w="3969"/>
        <w:gridCol w:w="397"/>
        <w:gridCol w:w="3968"/>
      </w:tblGrid>
      <w:tr w:rsidR="00F04C47">
        <w:trPr>
          <w:trHeight w:val="8084"/>
        </w:trPr>
        <w:tc>
          <w:tcPr>
            <w:tcW w:w="3969" w:type="dxa"/>
            <w:tcBorders>
              <w:top w:val="nil"/>
              <w:left w:val="nil"/>
              <w:bottom w:val="nil"/>
              <w:right w:val="nil"/>
            </w:tcBorders>
            <w:shd w:val="clear" w:color="auto" w:fill="D1E9F5"/>
          </w:tcPr>
          <w:p w:rsidR="00F04C47" w:rsidRDefault="006058C6">
            <w:pPr>
              <w:spacing w:after="0" w:line="225" w:lineRule="auto"/>
              <w:jc w:val="both"/>
            </w:pPr>
            <w:r>
              <w:rPr>
                <w:rFonts w:ascii="Times New Roman" w:eastAsia="Times New Roman" w:hAnsi="Times New Roman" w:cs="Times New Roman"/>
                <w:color w:val="181717"/>
                <w:sz w:val="23"/>
              </w:rPr>
              <w:t>international migration flows and internally displaced people (in the case of Ukraine, mainly women, children and the elderly) and leave a legacy of highly trau</w:t>
            </w:r>
            <w:r>
              <w:rPr>
                <w:rFonts w:ascii="Times New Roman" w:eastAsia="Times New Roman" w:hAnsi="Times New Roman" w:cs="Times New Roman"/>
                <w:color w:val="181717"/>
                <w:sz w:val="23"/>
              </w:rPr>
              <w:t>matic situations capable of seriously affecting the quality of life of those affected;</w:t>
            </w:r>
          </w:p>
          <w:p w:rsidR="00F04C47" w:rsidRDefault="006058C6">
            <w:pPr>
              <w:numPr>
                <w:ilvl w:val="0"/>
                <w:numId w:val="5"/>
              </w:numPr>
              <w:spacing w:after="0" w:line="225" w:lineRule="auto"/>
              <w:ind w:right="-2" w:firstLine="283"/>
              <w:jc w:val="both"/>
            </w:pPr>
            <w:r>
              <w:rPr>
                <w:rFonts w:ascii="Times New Roman" w:eastAsia="Times New Roman" w:hAnsi="Times New Roman" w:cs="Times New Roman"/>
                <w:color w:val="181717"/>
                <w:sz w:val="23"/>
              </w:rPr>
              <w:t>aware of the existence, within the foreign population in Italy, of groups with specific socio-economic vulnerabilities which can be traced back to the action of the soca</w:t>
            </w:r>
            <w:r>
              <w:rPr>
                <w:rFonts w:ascii="Times New Roman" w:eastAsia="Times New Roman" w:hAnsi="Times New Roman" w:cs="Times New Roman"/>
                <w:color w:val="181717"/>
                <w:sz w:val="23"/>
              </w:rPr>
              <w:t>lled ‘structural determinants of health’;</w:t>
            </w:r>
          </w:p>
          <w:p w:rsidR="00F04C47" w:rsidRDefault="006058C6">
            <w:pPr>
              <w:numPr>
                <w:ilvl w:val="0"/>
                <w:numId w:val="5"/>
              </w:numPr>
              <w:spacing w:after="0" w:line="225" w:lineRule="auto"/>
              <w:ind w:right="-2" w:firstLine="283"/>
              <w:jc w:val="both"/>
            </w:pPr>
            <w:r>
              <w:rPr>
                <w:rFonts w:ascii="Times New Roman" w:eastAsia="Times New Roman" w:hAnsi="Times New Roman" w:cs="Times New Roman"/>
                <w:color w:val="181717"/>
                <w:sz w:val="23"/>
              </w:rPr>
              <w:t>aware that, in the face of a national health legislation/regulations of an inclusive nature, throughout the territory from Region to Region/public administrations, barriers of an administrative, organizational, psy</w:t>
            </w:r>
            <w:r>
              <w:rPr>
                <w:rFonts w:ascii="Times New Roman" w:eastAsia="Times New Roman" w:hAnsi="Times New Roman" w:cs="Times New Roman"/>
                <w:color w:val="181717"/>
                <w:sz w:val="23"/>
              </w:rPr>
              <w:t xml:space="preserve">chological and linguistic nature persist unevenly; </w:t>
            </w:r>
          </w:p>
          <w:p w:rsidR="00F04C47" w:rsidRDefault="006058C6">
            <w:pPr>
              <w:numPr>
                <w:ilvl w:val="0"/>
                <w:numId w:val="5"/>
              </w:numPr>
              <w:spacing w:after="0" w:line="225" w:lineRule="auto"/>
              <w:ind w:right="-2" w:firstLine="283"/>
              <w:jc w:val="both"/>
            </w:pPr>
            <w:r>
              <w:rPr>
                <w:rFonts w:ascii="Times New Roman" w:eastAsia="Times New Roman" w:hAnsi="Times New Roman" w:cs="Times New Roman"/>
                <w:color w:val="181717"/>
                <w:sz w:val="23"/>
              </w:rPr>
              <w:t>noted that the main international institutions and agencies, with particular reference to the WHO, have produced in recent years Reports and Documents, also in the form of Resolutions, which recommend act</w:t>
            </w:r>
            <w:r>
              <w:rPr>
                <w:rFonts w:ascii="Times New Roman" w:eastAsia="Times New Roman" w:hAnsi="Times New Roman" w:cs="Times New Roman"/>
                <w:color w:val="181717"/>
                <w:sz w:val="23"/>
              </w:rPr>
              <w:t>ing with multi-sectorial policies on the basis of the recognition of a right to health without any discrimination;</w:t>
            </w:r>
          </w:p>
          <w:p w:rsidR="00F04C47" w:rsidRDefault="006058C6">
            <w:pPr>
              <w:spacing w:after="0"/>
              <w:ind w:left="-1" w:right="-3" w:firstLine="283"/>
              <w:jc w:val="both"/>
            </w:pPr>
            <w:r>
              <w:rPr>
                <w:rFonts w:ascii="Times New Roman" w:eastAsia="Times New Roman" w:hAnsi="Times New Roman" w:cs="Times New Roman"/>
                <w:color w:val="181717"/>
                <w:sz w:val="23"/>
              </w:rPr>
              <w:t>We strongly affirm the need for institutions at state, regional/provincial and local level to promote highly inclusive policies for all types</w:t>
            </w:r>
            <w:r>
              <w:rPr>
                <w:rFonts w:ascii="Times New Roman" w:eastAsia="Times New Roman" w:hAnsi="Times New Roman" w:cs="Times New Roman"/>
                <w:color w:val="181717"/>
                <w:sz w:val="23"/>
              </w:rPr>
              <w:t xml:space="preserve"> of migrants not only from a health perspective - in terms of accessibility and usability of the necessary prevention treatment and rehabilitation services - but</w:t>
            </w:r>
          </w:p>
        </w:tc>
        <w:tc>
          <w:tcPr>
            <w:tcW w:w="397" w:type="dxa"/>
            <w:tcBorders>
              <w:top w:val="nil"/>
              <w:left w:val="nil"/>
              <w:bottom w:val="nil"/>
              <w:right w:val="nil"/>
            </w:tcBorders>
            <w:vAlign w:val="bottom"/>
          </w:tcPr>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462"/>
              <w:ind w:left="-1"/>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462"/>
            </w:pPr>
            <w:r>
              <w:rPr>
                <w:rFonts w:ascii="Times New Roman" w:eastAsia="Times New Roman" w:hAnsi="Times New Roman" w:cs="Times New Roman"/>
                <w:color w:val="181717"/>
                <w:sz w:val="23"/>
              </w:rPr>
              <w:t xml:space="preserve"> </w:t>
            </w:r>
          </w:p>
          <w:p w:rsidR="00F04C47" w:rsidRDefault="006058C6">
            <w:pPr>
              <w:spacing w:after="0"/>
              <w:ind w:left="-4"/>
            </w:pPr>
            <w:r>
              <w:rPr>
                <w:rFonts w:ascii="Times New Roman" w:eastAsia="Times New Roman" w:hAnsi="Times New Roman" w:cs="Times New Roman"/>
                <w:color w:val="181717"/>
                <w:sz w:val="23"/>
              </w:rPr>
              <w:t xml:space="preserve"> </w:t>
            </w:r>
          </w:p>
          <w:p w:rsidR="00F04C47" w:rsidRDefault="006058C6">
            <w:pPr>
              <w:spacing w:after="212"/>
              <w:ind w:left="-1"/>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250" w:line="450" w:lineRule="auto"/>
              <w:ind w:left="-4" w:right="340"/>
            </w:pPr>
            <w:r>
              <w:rPr>
                <w:rFonts w:ascii="Times New Roman" w:eastAsia="Times New Roman" w:hAnsi="Times New Roman" w:cs="Times New Roman"/>
                <w:color w:val="181717"/>
                <w:sz w:val="23"/>
              </w:rPr>
              <w:t xml:space="preserve">  </w:t>
            </w:r>
          </w:p>
          <w:p w:rsidR="00F04C47" w:rsidRDefault="006058C6">
            <w:pPr>
              <w:spacing w:after="0"/>
            </w:pPr>
            <w:r>
              <w:rPr>
                <w:rFonts w:ascii="Times New Roman" w:eastAsia="Times New Roman" w:hAnsi="Times New Roman" w:cs="Times New Roman"/>
                <w:color w:val="181717"/>
                <w:sz w:val="23"/>
              </w:rPr>
              <w:t xml:space="preserve"> </w:t>
            </w:r>
          </w:p>
          <w:p w:rsidR="00F04C47" w:rsidRDefault="006058C6">
            <w:pPr>
              <w:spacing w:after="0" w:line="225" w:lineRule="auto"/>
              <w:ind w:left="-1" w:right="340"/>
            </w:pPr>
            <w:r>
              <w:rPr>
                <w:rFonts w:ascii="Times New Roman" w:eastAsia="Times New Roman" w:hAnsi="Times New Roman" w:cs="Times New Roman"/>
                <w:color w:val="181717"/>
                <w:sz w:val="23"/>
              </w:rPr>
              <w:t xml:space="preserve">  </w:t>
            </w:r>
          </w:p>
          <w:p w:rsidR="00F04C47" w:rsidRDefault="006058C6">
            <w:pPr>
              <w:spacing w:after="462"/>
              <w:ind w:left="-1"/>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212"/>
              <w:ind w:left="-1"/>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0"/>
              <w:ind w:left="-57"/>
            </w:pPr>
            <w:r>
              <w:rPr>
                <w:rFonts w:ascii="Times New Roman" w:eastAsia="Times New Roman" w:hAnsi="Times New Roman" w:cs="Times New Roman"/>
                <w:color w:val="181717"/>
                <w:sz w:val="23"/>
              </w:rPr>
              <w:t xml:space="preserve">, </w:t>
            </w:r>
          </w:p>
          <w:p w:rsidR="00F04C47" w:rsidRDefault="006058C6">
            <w:pPr>
              <w:spacing w:after="0"/>
              <w:ind w:left="-4"/>
            </w:pPr>
            <w:r>
              <w:rPr>
                <w:rFonts w:ascii="Times New Roman" w:eastAsia="Times New Roman" w:hAnsi="Times New Roman" w:cs="Times New Roman"/>
                <w:color w:val="181717"/>
                <w:sz w:val="23"/>
              </w:rPr>
              <w:t xml:space="preserve"> </w:t>
            </w:r>
          </w:p>
        </w:tc>
        <w:tc>
          <w:tcPr>
            <w:tcW w:w="3968" w:type="dxa"/>
            <w:tcBorders>
              <w:top w:val="nil"/>
              <w:left w:val="nil"/>
              <w:bottom w:val="nil"/>
              <w:right w:val="nil"/>
            </w:tcBorders>
            <w:shd w:val="clear" w:color="auto" w:fill="D1E9F5"/>
          </w:tcPr>
          <w:p w:rsidR="00F04C47" w:rsidRDefault="006058C6">
            <w:pPr>
              <w:spacing w:after="0" w:line="225" w:lineRule="auto"/>
            </w:pPr>
            <w:r>
              <w:rPr>
                <w:rFonts w:ascii="Times New Roman" w:eastAsia="Times New Roman" w:hAnsi="Times New Roman" w:cs="Times New Roman"/>
                <w:color w:val="181717"/>
                <w:sz w:val="23"/>
              </w:rPr>
              <w:t>also in terms of their promotion and social protection;</w:t>
            </w:r>
          </w:p>
          <w:p w:rsidR="00F04C47" w:rsidRDefault="006058C6">
            <w:pPr>
              <w:spacing w:after="36" w:line="222" w:lineRule="auto"/>
              <w:ind w:firstLine="283"/>
              <w:jc w:val="both"/>
            </w:pPr>
            <w:r>
              <w:rPr>
                <w:rFonts w:ascii="Times New Roman" w:eastAsia="Times New Roman" w:hAnsi="Times New Roman" w:cs="Times New Roman"/>
                <w:color w:val="181717"/>
                <w:sz w:val="23"/>
              </w:rPr>
              <w:t>We underscore how crucial it is – in line with the recommendations produced by the WHO European Regional Office in December 2020 – to establish the regulatory, administrative, technical and professional conditions that can allow an effective monitoring of</w:t>
            </w:r>
            <w:r>
              <w:rPr>
                <w:rFonts w:ascii="Times New Roman" w:eastAsia="Times New Roman" w:hAnsi="Times New Roman" w:cs="Times New Roman"/>
                <w:color w:val="181717"/>
                <w:sz w:val="23"/>
              </w:rPr>
              <w:t xml:space="preserve"> the health of migrants and refugees</w:t>
            </w:r>
            <w:r>
              <w:rPr>
                <w:rFonts w:ascii="Times New Roman" w:eastAsia="Times New Roman" w:hAnsi="Times New Roman" w:cs="Times New Roman"/>
                <w:color w:val="181717"/>
                <w:sz w:val="21"/>
                <w:vertAlign w:val="superscript"/>
              </w:rPr>
              <w:footnoteReference w:id="1"/>
            </w:r>
            <w:r>
              <w:rPr>
                <w:rFonts w:ascii="Times New Roman" w:eastAsia="Times New Roman" w:hAnsi="Times New Roman" w:cs="Times New Roman"/>
                <w:color w:val="181717"/>
                <w:sz w:val="23"/>
              </w:rPr>
              <w:t>.</w:t>
            </w:r>
          </w:p>
          <w:p w:rsidR="00F04C47" w:rsidRDefault="006058C6">
            <w:pPr>
              <w:spacing w:after="250" w:line="225" w:lineRule="auto"/>
              <w:ind w:right="-2" w:firstLine="283"/>
              <w:jc w:val="both"/>
            </w:pPr>
            <w:r>
              <w:rPr>
                <w:rFonts w:ascii="Times New Roman" w:eastAsia="Times New Roman" w:hAnsi="Times New Roman" w:cs="Times New Roman"/>
                <w:color w:val="181717"/>
                <w:sz w:val="23"/>
              </w:rPr>
              <w:t>We express a particular concern in the face of the profound disparities between Regions and Autonomous Provinces with regard to the effective application of the Essential Levels of Healthcare (LEA)</w:t>
            </w:r>
            <w:r>
              <w:rPr>
                <w:rFonts w:ascii="Times New Roman" w:eastAsia="Times New Roman" w:hAnsi="Times New Roman" w:cs="Times New Roman"/>
                <w:color w:val="181717"/>
                <w:sz w:val="21"/>
                <w:vertAlign w:val="superscript"/>
              </w:rPr>
              <w:footnoteReference w:id="2"/>
            </w:r>
            <w:r>
              <w:rPr>
                <w:rFonts w:ascii="Times New Roman" w:eastAsia="Times New Roman" w:hAnsi="Times New Roman" w:cs="Times New Roman"/>
                <w:color w:val="181717"/>
                <w:sz w:val="23"/>
              </w:rPr>
              <w:t xml:space="preserve"> and other welfare provisions aimed at women, men and children within the community (with specific reference to the EU citizens who are not enrolled in the Health Service - ENI) and the non-EU citizens (with specific reference to those who do not have a va</w:t>
            </w:r>
            <w:r>
              <w:rPr>
                <w:rFonts w:ascii="Times New Roman" w:eastAsia="Times New Roman" w:hAnsi="Times New Roman" w:cs="Times New Roman"/>
                <w:color w:val="181717"/>
                <w:sz w:val="23"/>
              </w:rPr>
              <w:t>lid residence permit - STP).</w:t>
            </w:r>
          </w:p>
          <w:p w:rsidR="00F04C47" w:rsidRDefault="006058C6">
            <w:pPr>
              <w:spacing w:after="0"/>
              <w:ind w:right="125"/>
              <w:jc w:val="center"/>
            </w:pPr>
            <w:r>
              <w:rPr>
                <w:rFonts w:ascii="Times New Roman" w:eastAsia="Times New Roman" w:hAnsi="Times New Roman" w:cs="Times New Roman"/>
                <w:i/>
                <w:color w:val="181717"/>
                <w:sz w:val="23"/>
              </w:rPr>
              <w:t xml:space="preserve">Based on the above considerations: </w:t>
            </w:r>
          </w:p>
          <w:p w:rsidR="00F04C47" w:rsidRDefault="006058C6">
            <w:pPr>
              <w:spacing w:after="0"/>
              <w:ind w:right="-2" w:firstLine="283"/>
              <w:jc w:val="both"/>
            </w:pPr>
            <w:r>
              <w:rPr>
                <w:rFonts w:ascii="Times New Roman" w:eastAsia="Times New Roman" w:hAnsi="Times New Roman" w:cs="Times New Roman"/>
                <w:color w:val="181717"/>
                <w:sz w:val="23"/>
              </w:rPr>
              <w:t>We urge the application throughout the national territory of the Guidelines already available with regards to reception (in its different phases) and to the methods for verifying the health conditions of migrants with specific conditions/needs and subseque</w:t>
            </w:r>
            <w:r>
              <w:rPr>
                <w:rFonts w:ascii="Times New Roman" w:eastAsia="Times New Roman" w:hAnsi="Times New Roman" w:cs="Times New Roman"/>
                <w:color w:val="181717"/>
                <w:sz w:val="23"/>
              </w:rPr>
              <w:t>nt taking charge actions based on the available scientific evidence</w:t>
            </w:r>
            <w:r>
              <w:rPr>
                <w:rFonts w:ascii="Times New Roman" w:eastAsia="Times New Roman" w:hAnsi="Times New Roman" w:cs="Times New Roman"/>
                <w:color w:val="181717"/>
                <w:sz w:val="21"/>
                <w:vertAlign w:val="superscript"/>
              </w:rPr>
              <w:footnoteReference w:id="3"/>
            </w:r>
            <w:r>
              <w:rPr>
                <w:rFonts w:ascii="Times New Roman" w:eastAsia="Times New Roman" w:hAnsi="Times New Roman" w:cs="Times New Roman"/>
                <w:color w:val="181717"/>
                <w:sz w:val="23"/>
              </w:rPr>
              <w:t>;</w:t>
            </w:r>
          </w:p>
        </w:tc>
      </w:tr>
    </w:tbl>
    <w:p w:rsidR="00F04C47" w:rsidRDefault="006058C6">
      <w:pPr>
        <w:spacing w:after="0"/>
      </w:pPr>
      <w:r>
        <w:rPr>
          <w:noProof/>
        </w:rPr>
        <mc:AlternateContent>
          <mc:Choice Requires="wpg">
            <w:drawing>
              <wp:inline distT="0" distB="0" distL="0" distR="0">
                <wp:extent cx="5292001" cy="3175"/>
                <wp:effectExtent l="0" t="0" r="0" b="0"/>
                <wp:docPr id="13844" name="Group 13844"/>
                <wp:cNvGraphicFramePr/>
                <a:graphic xmlns:a="http://schemas.openxmlformats.org/drawingml/2006/main">
                  <a:graphicData uri="http://schemas.microsoft.com/office/word/2010/wordprocessingGroup">
                    <wpg:wgp>
                      <wpg:cNvGrpSpPr/>
                      <wpg:grpSpPr>
                        <a:xfrm>
                          <a:off x="0" y="0"/>
                          <a:ext cx="5292001" cy="3175"/>
                          <a:chOff x="0" y="0"/>
                          <a:chExt cx="5292001" cy="3175"/>
                        </a:xfrm>
                      </wpg:grpSpPr>
                      <wps:wsp>
                        <wps:cNvPr id="610" name="Shape 610"/>
                        <wps:cNvSpPr/>
                        <wps:spPr>
                          <a:xfrm>
                            <a:off x="0" y="0"/>
                            <a:ext cx="5292001" cy="0"/>
                          </a:xfrm>
                          <a:custGeom>
                            <a:avLst/>
                            <a:gdLst/>
                            <a:ahLst/>
                            <a:cxnLst/>
                            <a:rect l="0" t="0" r="0" b="0"/>
                            <a:pathLst>
                              <a:path w="5292001">
                                <a:moveTo>
                                  <a:pt x="0" y="0"/>
                                </a:moveTo>
                                <a:lnTo>
                                  <a:pt x="5292001"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44" style="width:416.693pt;height:0.25pt;mso-position-horizontal-relative:char;mso-position-vertical-relative:line" coordsize="52920,31">
                <v:shape id="Shape 610" style="position:absolute;width:52920;height:0;left:0;top:0;" coordsize="5292001,0" path="m0,0l5292001,0">
                  <v:stroke weight="0.25pt" endcap="flat" joinstyle="miter" miterlimit="4" on="true" color="#181717"/>
                  <v:fill on="false" color="#000000" opacity="0"/>
                </v:shape>
              </v:group>
            </w:pict>
          </mc:Fallback>
        </mc:AlternateContent>
      </w:r>
    </w:p>
    <w:tbl>
      <w:tblPr>
        <w:tblStyle w:val="TableGrid"/>
        <w:tblW w:w="8334" w:type="dxa"/>
        <w:tblInd w:w="170" w:type="dxa"/>
        <w:tblCellMar>
          <w:top w:w="0" w:type="dxa"/>
          <w:left w:w="0" w:type="dxa"/>
          <w:bottom w:w="87" w:type="dxa"/>
          <w:right w:w="0" w:type="dxa"/>
        </w:tblCellMar>
        <w:tblLook w:val="04A0" w:firstRow="1" w:lastRow="0" w:firstColumn="1" w:lastColumn="0" w:noHBand="0" w:noVBand="1"/>
      </w:tblPr>
      <w:tblGrid>
        <w:gridCol w:w="3969"/>
        <w:gridCol w:w="397"/>
        <w:gridCol w:w="3969"/>
      </w:tblGrid>
      <w:tr w:rsidR="00F04C47">
        <w:trPr>
          <w:trHeight w:val="10318"/>
        </w:trPr>
        <w:tc>
          <w:tcPr>
            <w:tcW w:w="3969" w:type="dxa"/>
            <w:tcBorders>
              <w:top w:val="nil"/>
              <w:left w:val="nil"/>
              <w:bottom w:val="nil"/>
              <w:right w:val="nil"/>
            </w:tcBorders>
            <w:shd w:val="clear" w:color="auto" w:fill="D1E9F5"/>
          </w:tcPr>
          <w:p w:rsidR="00F04C47" w:rsidRDefault="006058C6">
            <w:pPr>
              <w:spacing w:after="0" w:line="225" w:lineRule="auto"/>
              <w:ind w:right="-3" w:firstLine="283"/>
              <w:jc w:val="both"/>
            </w:pPr>
            <w:r>
              <w:rPr>
                <w:rFonts w:ascii="Times New Roman" w:eastAsia="Times New Roman" w:hAnsi="Times New Roman" w:cs="Times New Roman"/>
                <w:color w:val="181717"/>
                <w:sz w:val="23"/>
              </w:rPr>
              <w:t>We hope for the activation of interventions relating to the implementation of intersectoral policies and empowerment actions in favour of foreign communities in Italy for the promotio</w:t>
            </w:r>
            <w:r>
              <w:rPr>
                <w:rFonts w:ascii="Times New Roman" w:eastAsia="Times New Roman" w:hAnsi="Times New Roman" w:cs="Times New Roman"/>
                <w:color w:val="181717"/>
                <w:sz w:val="23"/>
              </w:rPr>
              <w:t>n of their health; specifically, we hope for the enhancement of the widespread skills of organised civil society in the field of the promotion and protection of the health of the most fragile people, in a virtuous logic of circular subsidiarity to know, in</w:t>
            </w:r>
            <w:r>
              <w:rPr>
                <w:rFonts w:ascii="Times New Roman" w:eastAsia="Times New Roman" w:hAnsi="Times New Roman" w:cs="Times New Roman"/>
                <w:color w:val="181717"/>
                <w:sz w:val="23"/>
              </w:rPr>
              <w:t>tercept and take charge in an integrated form of the situations of greatest vulnerability;</w:t>
            </w:r>
          </w:p>
          <w:p w:rsidR="00F04C47" w:rsidRDefault="006058C6">
            <w:pPr>
              <w:spacing w:after="0" w:line="225" w:lineRule="auto"/>
              <w:ind w:right="-17" w:firstLine="283"/>
              <w:jc w:val="both"/>
            </w:pPr>
            <w:r>
              <w:rPr>
                <w:rFonts w:ascii="Times New Roman" w:eastAsia="Times New Roman" w:hAnsi="Times New Roman" w:cs="Times New Roman"/>
                <w:color w:val="181717"/>
                <w:sz w:val="23"/>
              </w:rPr>
              <w:t>We urge the promotion and implementation of actions to tackle possible inequalities in health and care that affect migrant populations - with particular reference to</w:t>
            </w:r>
            <w:r>
              <w:rPr>
                <w:rFonts w:ascii="Times New Roman" w:eastAsia="Times New Roman" w:hAnsi="Times New Roman" w:cs="Times New Roman"/>
                <w:color w:val="181717"/>
                <w:sz w:val="23"/>
              </w:rPr>
              <w:t xml:space="preserve"> the possibility of actively reaching the most vulnerable groups (the so-called ‘hard to reach’) - through ‘proximity’ public health interventions (based on the following characteristics: outreach, system mediation, involvement of individuals,  institution</w:t>
            </w:r>
            <w:r>
              <w:rPr>
                <w:rFonts w:ascii="Times New Roman" w:eastAsia="Times New Roman" w:hAnsi="Times New Roman" w:cs="Times New Roman"/>
                <w:color w:val="181717"/>
                <w:sz w:val="23"/>
              </w:rPr>
              <w:t>s, and communities) and the dissemination and application of the ‘Health Equity Audit’ tool;</w:t>
            </w:r>
          </w:p>
          <w:p w:rsidR="00F04C47" w:rsidRDefault="006058C6">
            <w:pPr>
              <w:spacing w:after="0"/>
              <w:ind w:right="-3" w:firstLine="283"/>
              <w:jc w:val="both"/>
            </w:pPr>
            <w:r>
              <w:rPr>
                <w:rFonts w:ascii="Times New Roman" w:eastAsia="Times New Roman" w:hAnsi="Times New Roman" w:cs="Times New Roman"/>
                <w:color w:val="181717"/>
                <w:sz w:val="23"/>
              </w:rPr>
              <w:t>We recommend improving the quality of the collection of key variables of interest</w:t>
            </w:r>
            <w:r>
              <w:rPr>
                <w:rFonts w:ascii="Times New Roman" w:eastAsia="Times New Roman" w:hAnsi="Times New Roman" w:cs="Times New Roman"/>
                <w:color w:val="181717"/>
                <w:sz w:val="21"/>
                <w:vertAlign w:val="superscript"/>
              </w:rPr>
              <w:footnoteReference w:id="4"/>
            </w:r>
            <w:r>
              <w:rPr>
                <w:rFonts w:ascii="Times New Roman" w:eastAsia="Times New Roman" w:hAnsi="Times New Roman" w:cs="Times New Roman"/>
                <w:color w:val="181717"/>
                <w:sz w:val="23"/>
              </w:rPr>
              <w:t xml:space="preserve"> or including them in current health information flows, in pathology registers an</w:t>
            </w:r>
            <w:r>
              <w:rPr>
                <w:rFonts w:ascii="Times New Roman" w:eastAsia="Times New Roman" w:hAnsi="Times New Roman" w:cs="Times New Roman"/>
                <w:color w:val="181717"/>
                <w:sz w:val="23"/>
              </w:rPr>
              <w:t>d in scientific research, in order to disaggregate data of interest aimed at promoting and protecting the health of immigrant communities - in compliance with privacy constraints - and to be able to communicate the different flows with each other through ‘</w:t>
            </w:r>
            <w:r>
              <w:rPr>
                <w:rFonts w:ascii="Times New Roman" w:eastAsia="Times New Roman" w:hAnsi="Times New Roman" w:cs="Times New Roman"/>
                <w:color w:val="181717"/>
                <w:sz w:val="23"/>
              </w:rPr>
              <w:t>record linkage’ This is indispensable in order to have reliable and stable information on health needs and critical care issues on the basis of which the health planning documents can be defined for the various fields of interest (e.g.: for vaccination and</w:t>
            </w:r>
            <w:r>
              <w:rPr>
                <w:rFonts w:ascii="Times New Roman" w:eastAsia="Times New Roman" w:hAnsi="Times New Roman" w:cs="Times New Roman"/>
                <w:color w:val="181717"/>
                <w:sz w:val="23"/>
              </w:rPr>
              <w:t xml:space="preserve"> oncological prevention</w:t>
            </w:r>
          </w:p>
        </w:tc>
        <w:tc>
          <w:tcPr>
            <w:tcW w:w="397" w:type="dxa"/>
            <w:tcBorders>
              <w:top w:val="nil"/>
              <w:left w:val="nil"/>
              <w:bottom w:val="nil"/>
              <w:right w:val="nil"/>
            </w:tcBorders>
            <w:vAlign w:val="bottom"/>
          </w:tcPr>
          <w:p w:rsidR="00F04C47" w:rsidRDefault="006058C6">
            <w:pPr>
              <w:spacing w:after="212"/>
              <w:ind w:left="-1"/>
            </w:pPr>
            <w:r>
              <w:rPr>
                <w:rFonts w:ascii="Times New Roman" w:eastAsia="Times New Roman" w:hAnsi="Times New Roman" w:cs="Times New Roman"/>
                <w:color w:val="181717"/>
                <w:sz w:val="23"/>
              </w:rPr>
              <w:t xml:space="preserve"> </w:t>
            </w:r>
          </w:p>
          <w:p w:rsidR="00F04C47" w:rsidRDefault="006058C6">
            <w:pPr>
              <w:spacing w:after="212"/>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1212"/>
            </w:pPr>
            <w:r>
              <w:rPr>
                <w:rFonts w:ascii="Times New Roman" w:eastAsia="Times New Roman" w:hAnsi="Times New Roman" w:cs="Times New Roman"/>
                <w:color w:val="181717"/>
                <w:sz w:val="23"/>
              </w:rPr>
              <w:t xml:space="preserve"> </w:t>
            </w:r>
          </w:p>
          <w:p w:rsidR="00F04C47" w:rsidRDefault="006058C6">
            <w:pPr>
              <w:spacing w:after="0"/>
              <w:ind w:left="-3"/>
            </w:pPr>
            <w:r>
              <w:rPr>
                <w:rFonts w:ascii="Times New Roman" w:eastAsia="Times New Roman" w:hAnsi="Times New Roman" w:cs="Times New Roman"/>
                <w:color w:val="181717"/>
                <w:sz w:val="23"/>
              </w:rPr>
              <w:t xml:space="preserve"> </w:t>
            </w:r>
          </w:p>
          <w:p w:rsidR="00F04C47" w:rsidRDefault="006058C6">
            <w:pPr>
              <w:spacing w:after="0"/>
              <w:ind w:left="-3"/>
            </w:pPr>
            <w:r>
              <w:rPr>
                <w:rFonts w:ascii="Times New Roman" w:eastAsia="Times New Roman" w:hAnsi="Times New Roman" w:cs="Times New Roman"/>
                <w:color w:val="181717"/>
                <w:sz w:val="23"/>
              </w:rPr>
              <w:t xml:space="preserve"> </w:t>
            </w:r>
          </w:p>
          <w:p w:rsidR="00F04C47" w:rsidRDefault="006058C6">
            <w:pPr>
              <w:spacing w:after="1212"/>
              <w:ind w:left="-3"/>
            </w:pPr>
            <w:r>
              <w:rPr>
                <w:rFonts w:ascii="Times New Roman" w:eastAsia="Times New Roman" w:hAnsi="Times New Roman" w:cs="Times New Roman"/>
                <w:color w:val="181717"/>
                <w:sz w:val="23"/>
              </w:rPr>
              <w:t xml:space="preserve"> </w:t>
            </w:r>
          </w:p>
          <w:p w:rsidR="00F04C47" w:rsidRDefault="006058C6">
            <w:pPr>
              <w:spacing w:after="0"/>
              <w:ind w:left="-4"/>
            </w:pPr>
            <w:r>
              <w:rPr>
                <w:rFonts w:ascii="Times New Roman" w:eastAsia="Times New Roman" w:hAnsi="Times New Roman" w:cs="Times New Roman"/>
                <w:color w:val="181717"/>
                <w:sz w:val="23"/>
              </w:rPr>
              <w:t xml:space="preserve"> </w:t>
            </w:r>
          </w:p>
          <w:p w:rsidR="00F04C47" w:rsidRDefault="006058C6">
            <w:pPr>
              <w:spacing w:after="0"/>
              <w:ind w:left="-3"/>
            </w:pPr>
            <w:r>
              <w:rPr>
                <w:rFonts w:ascii="Times New Roman" w:eastAsia="Times New Roman" w:hAnsi="Times New Roman" w:cs="Times New Roman"/>
                <w:color w:val="181717"/>
                <w:sz w:val="23"/>
              </w:rPr>
              <w:t xml:space="preserve"> </w:t>
            </w:r>
          </w:p>
          <w:p w:rsidR="00F04C47" w:rsidRDefault="006058C6">
            <w:pPr>
              <w:spacing w:after="212"/>
              <w:ind w:left="-5"/>
            </w:pPr>
            <w:r>
              <w:rPr>
                <w:rFonts w:ascii="Times New Roman" w:eastAsia="Times New Roman" w:hAnsi="Times New Roman" w:cs="Times New Roman"/>
                <w:color w:val="181717"/>
                <w:sz w:val="23"/>
              </w:rPr>
              <w:t xml:space="preserve"> </w:t>
            </w:r>
          </w:p>
          <w:p w:rsidR="00F04C47" w:rsidRDefault="006058C6">
            <w:pPr>
              <w:spacing w:after="0"/>
              <w:ind w:left="-1"/>
            </w:pPr>
            <w:r>
              <w:rPr>
                <w:rFonts w:ascii="Times New Roman" w:eastAsia="Times New Roman" w:hAnsi="Times New Roman" w:cs="Times New Roman"/>
                <w:color w:val="181717"/>
                <w:sz w:val="23"/>
              </w:rPr>
              <w:t xml:space="preserve"> </w:t>
            </w:r>
          </w:p>
          <w:p w:rsidR="00F04C47" w:rsidRDefault="006058C6">
            <w:pPr>
              <w:spacing w:after="0" w:line="450" w:lineRule="auto"/>
              <w:ind w:left="-55" w:right="283" w:firstLine="55"/>
            </w:pPr>
            <w:r>
              <w:rPr>
                <w:rFonts w:ascii="Times New Roman" w:eastAsia="Times New Roman" w:hAnsi="Times New Roman" w:cs="Times New Roman"/>
                <w:color w:val="181717"/>
                <w:sz w:val="23"/>
              </w:rPr>
              <w:t xml:space="preserve"> . </w:t>
            </w:r>
          </w:p>
          <w:p w:rsidR="00F04C47" w:rsidRDefault="006058C6">
            <w:pPr>
              <w:spacing w:after="212"/>
            </w:pPr>
            <w:r>
              <w:rPr>
                <w:rFonts w:ascii="Times New Roman" w:eastAsia="Times New Roman" w:hAnsi="Times New Roman" w:cs="Times New Roman"/>
                <w:color w:val="181717"/>
                <w:sz w:val="23"/>
              </w:rPr>
              <w:t xml:space="preserve"> </w:t>
            </w:r>
          </w:p>
          <w:p w:rsidR="00F04C47" w:rsidRDefault="006058C6">
            <w:pPr>
              <w:spacing w:after="212"/>
            </w:pPr>
            <w:r>
              <w:rPr>
                <w:rFonts w:ascii="Times New Roman" w:eastAsia="Times New Roman" w:hAnsi="Times New Roman" w:cs="Times New Roman"/>
                <w:color w:val="181717"/>
                <w:sz w:val="23"/>
              </w:rPr>
              <w:t xml:space="preserve"> </w:t>
            </w:r>
          </w:p>
          <w:p w:rsidR="00F04C47" w:rsidRDefault="006058C6">
            <w:pPr>
              <w:spacing w:after="0"/>
              <w:ind w:left="-57"/>
            </w:pPr>
            <w:r>
              <w:rPr>
                <w:rFonts w:ascii="Times New Roman" w:eastAsia="Times New Roman" w:hAnsi="Times New Roman" w:cs="Times New Roman"/>
                <w:color w:val="181717"/>
                <w:sz w:val="23"/>
              </w:rPr>
              <w:t xml:space="preserve">, </w:t>
            </w:r>
          </w:p>
        </w:tc>
        <w:tc>
          <w:tcPr>
            <w:tcW w:w="3969" w:type="dxa"/>
            <w:tcBorders>
              <w:top w:val="nil"/>
              <w:left w:val="nil"/>
              <w:bottom w:val="nil"/>
              <w:right w:val="nil"/>
            </w:tcBorders>
            <w:shd w:val="clear" w:color="auto" w:fill="D1E9F5"/>
          </w:tcPr>
          <w:p w:rsidR="00F04C47" w:rsidRDefault="006058C6">
            <w:pPr>
              <w:spacing w:after="0" w:line="225" w:lineRule="auto"/>
              <w:ind w:right="-1"/>
              <w:jc w:val="both"/>
            </w:pPr>
            <w:r>
              <w:rPr>
                <w:rFonts w:ascii="Times New Roman" w:eastAsia="Times New Roman" w:hAnsi="Times New Roman" w:cs="Times New Roman"/>
                <w:color w:val="181717"/>
                <w:sz w:val="23"/>
              </w:rPr>
              <w:t>for the various clinical and rehabilitation fields...) and the relative assessment of health and care outcomes;</w:t>
            </w:r>
          </w:p>
          <w:p w:rsidR="00F04C47" w:rsidRDefault="006058C6">
            <w:pPr>
              <w:spacing w:after="0" w:line="225" w:lineRule="auto"/>
              <w:ind w:right="-3" w:firstLine="283"/>
              <w:jc w:val="both"/>
            </w:pPr>
            <w:r>
              <w:rPr>
                <w:rFonts w:ascii="Times New Roman" w:eastAsia="Times New Roman" w:hAnsi="Times New Roman" w:cs="Times New Roman"/>
                <w:color w:val="181717"/>
                <w:sz w:val="23"/>
              </w:rPr>
              <w:t>We ask to guarantee, in all the public health service branches and in particular in the Local Health Authority offices (in their various denominations), conditions that ensure stability to projects and interventions in the promotion and the protection of t</w:t>
            </w:r>
            <w:r>
              <w:rPr>
                <w:rFonts w:ascii="Times New Roman" w:eastAsia="Times New Roman" w:hAnsi="Times New Roman" w:cs="Times New Roman"/>
                <w:color w:val="181717"/>
                <w:sz w:val="23"/>
              </w:rPr>
              <w:t>he health of migrants, whatever their legal status, ensuring their inclusion in all programs/interventions, also through the possible definition in the company organigram chart of dedicated Operative Units and/or the establishment of specifically dedicated</w:t>
            </w:r>
            <w:r>
              <w:rPr>
                <w:rFonts w:ascii="Times New Roman" w:eastAsia="Times New Roman" w:hAnsi="Times New Roman" w:cs="Times New Roman"/>
                <w:color w:val="181717"/>
                <w:sz w:val="23"/>
              </w:rPr>
              <w:t xml:space="preserve"> interdepartmental/inter-district company committee;</w:t>
            </w:r>
          </w:p>
          <w:p w:rsidR="00F04C47" w:rsidRDefault="006058C6">
            <w:pPr>
              <w:spacing w:after="0" w:line="225" w:lineRule="auto"/>
              <w:ind w:right="-3" w:firstLine="283"/>
              <w:jc w:val="both"/>
            </w:pPr>
            <w:r>
              <w:rPr>
                <w:rFonts w:ascii="Times New Roman" w:eastAsia="Times New Roman" w:hAnsi="Times New Roman" w:cs="Times New Roman"/>
                <w:color w:val="181717"/>
                <w:sz w:val="23"/>
              </w:rPr>
              <w:t>We highlight the need to overcome the great fragmentation and dis-homogeneity related to the identification of the requirements and procedures functional to the accessibility and usability of the differe</w:t>
            </w:r>
            <w:r>
              <w:rPr>
                <w:rFonts w:ascii="Times New Roman" w:eastAsia="Times New Roman" w:hAnsi="Times New Roman" w:cs="Times New Roman"/>
                <w:color w:val="181717"/>
                <w:sz w:val="23"/>
              </w:rPr>
              <w:t xml:space="preserve">nt types of assistance, including the levels of exemption to the payment of services, favouring single national codes, in particular for people with STP - Stranieri Temporaneamente Presenti (foreigners temporarily present) or ENI – Europei non iscritti al </w:t>
            </w:r>
            <w:r>
              <w:rPr>
                <w:rFonts w:ascii="Times New Roman" w:eastAsia="Times New Roman" w:hAnsi="Times New Roman" w:cs="Times New Roman"/>
                <w:color w:val="181717"/>
                <w:sz w:val="23"/>
              </w:rPr>
              <w:t>Servizio sanitario (Europeans not enrolled in the Health Service) codes;</w:t>
            </w:r>
          </w:p>
          <w:p w:rsidR="00F04C47" w:rsidRDefault="006058C6">
            <w:pPr>
              <w:spacing w:after="0"/>
              <w:ind w:right="-2" w:firstLine="283"/>
              <w:jc w:val="both"/>
            </w:pPr>
            <w:r>
              <w:rPr>
                <w:rFonts w:ascii="Times New Roman" w:eastAsia="Times New Roman" w:hAnsi="Times New Roman" w:cs="Times New Roman"/>
                <w:color w:val="181717"/>
                <w:sz w:val="23"/>
              </w:rPr>
              <w:t>We also ask the institutions in various capacities involved in the objective of health for all - with particular reference to the necessary role of coordination and stewardship of the</w:t>
            </w:r>
            <w:r>
              <w:rPr>
                <w:rFonts w:ascii="Times New Roman" w:eastAsia="Times New Roman" w:hAnsi="Times New Roman" w:cs="Times New Roman"/>
                <w:color w:val="181717"/>
                <w:sz w:val="23"/>
              </w:rPr>
              <w:t xml:space="preserve"> Ministry of Health and the institutions it oversees - to strengthen their governance action and to strengthen their guidelines and tools of preparedness, also in order to be able to better respond to the needs of a society subject to demographic, social a</w:t>
            </w:r>
            <w:r>
              <w:rPr>
                <w:rFonts w:ascii="Times New Roman" w:eastAsia="Times New Roman" w:hAnsi="Times New Roman" w:cs="Times New Roman"/>
                <w:color w:val="181717"/>
                <w:sz w:val="23"/>
              </w:rPr>
              <w:t xml:space="preserve">nd epidemiological changes, and possible </w:t>
            </w:r>
          </w:p>
        </w:tc>
      </w:tr>
    </w:tbl>
    <w:p w:rsidR="00F04C47" w:rsidRDefault="006058C6">
      <w:pPr>
        <w:spacing w:after="209"/>
        <w:ind w:left="170"/>
      </w:pPr>
      <w:r>
        <w:rPr>
          <w:noProof/>
        </w:rPr>
        <mc:AlternateContent>
          <mc:Choice Requires="wpg">
            <w:drawing>
              <wp:inline distT="0" distB="0" distL="0" distR="0">
                <wp:extent cx="5292001" cy="3175"/>
                <wp:effectExtent l="0" t="0" r="0" b="0"/>
                <wp:docPr id="13827" name="Group 13827"/>
                <wp:cNvGraphicFramePr/>
                <a:graphic xmlns:a="http://schemas.openxmlformats.org/drawingml/2006/main">
                  <a:graphicData uri="http://schemas.microsoft.com/office/word/2010/wordprocessingGroup">
                    <wpg:wgp>
                      <wpg:cNvGrpSpPr/>
                      <wpg:grpSpPr>
                        <a:xfrm>
                          <a:off x="0" y="0"/>
                          <a:ext cx="5292001" cy="3175"/>
                          <a:chOff x="0" y="0"/>
                          <a:chExt cx="5292001" cy="3175"/>
                        </a:xfrm>
                      </wpg:grpSpPr>
                      <wps:wsp>
                        <wps:cNvPr id="722" name="Shape 722"/>
                        <wps:cNvSpPr/>
                        <wps:spPr>
                          <a:xfrm>
                            <a:off x="0" y="0"/>
                            <a:ext cx="5292001" cy="0"/>
                          </a:xfrm>
                          <a:custGeom>
                            <a:avLst/>
                            <a:gdLst/>
                            <a:ahLst/>
                            <a:cxnLst/>
                            <a:rect l="0" t="0" r="0" b="0"/>
                            <a:pathLst>
                              <a:path w="5292001">
                                <a:moveTo>
                                  <a:pt x="0" y="0"/>
                                </a:moveTo>
                                <a:lnTo>
                                  <a:pt x="5292001"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827" style="width:416.693pt;height:0.25pt;mso-position-horizontal-relative:char;mso-position-vertical-relative:line" coordsize="52920,31">
                <v:shape id="Shape 722" style="position:absolute;width:52920;height:0;left:0;top:0;" coordsize="5292001,0" path="m0,0l5292001,0">
                  <v:stroke weight="0.25pt" endcap="flat" joinstyle="miter" miterlimit="4" on="true" color="#181717"/>
                  <v:fill on="false" color="#000000" opacity="0"/>
                </v:shape>
              </v:group>
            </w:pict>
          </mc:Fallback>
        </mc:AlternateContent>
      </w:r>
    </w:p>
    <w:p w:rsidR="00F04C47" w:rsidRDefault="006058C6">
      <w:pPr>
        <w:spacing w:after="80" w:line="249" w:lineRule="auto"/>
        <w:ind w:left="180" w:hanging="10"/>
        <w:jc w:val="both"/>
      </w:pPr>
      <w:r>
        <w:rPr>
          <w:rFonts w:ascii="Times New Roman" w:eastAsia="Times New Roman" w:hAnsi="Times New Roman" w:cs="Times New Roman"/>
          <w:color w:val="181717"/>
          <w:sz w:val="18"/>
        </w:rPr>
        <w:t>legato.pdf [Last accessed: 2023 May 16]; Presidency of the Council of Ministers: “</w:t>
      </w:r>
      <w:r>
        <w:rPr>
          <w:rFonts w:ascii="Times New Roman" w:eastAsia="Times New Roman" w:hAnsi="Times New Roman" w:cs="Times New Roman"/>
          <w:i/>
          <w:color w:val="181717"/>
          <w:sz w:val="18"/>
        </w:rPr>
        <w:t>Multidisciplinary protocol for the determination of the age of unaccompanied foreign minors</w:t>
      </w:r>
      <w:r>
        <w:rPr>
          <w:rFonts w:ascii="Times New Roman" w:eastAsia="Times New Roman" w:hAnsi="Times New Roman" w:cs="Times New Roman"/>
          <w:color w:val="181717"/>
          <w:sz w:val="18"/>
        </w:rPr>
        <w:t>”* (2020). Available on: https://www.statoregioni.it/ media/2751/p3-cu-atto-rep-n-73-9lug2020.pdf [Last accessed: 2023 May 16].</w:t>
      </w:r>
    </w:p>
    <w:tbl>
      <w:tblPr>
        <w:tblStyle w:val="TableGrid"/>
        <w:tblpPr w:vertAnchor="page" w:horzAnchor="page" w:tblpX="5216" w:tblpY="1701"/>
        <w:tblOverlap w:val="never"/>
        <w:tblW w:w="3963" w:type="dxa"/>
        <w:tblInd w:w="0" w:type="dxa"/>
        <w:tblCellMar>
          <w:top w:w="0" w:type="dxa"/>
          <w:left w:w="0" w:type="dxa"/>
          <w:bottom w:w="0" w:type="dxa"/>
          <w:right w:w="0" w:type="dxa"/>
        </w:tblCellMar>
        <w:tblLook w:val="04A0" w:firstRow="1" w:lastRow="0" w:firstColumn="1" w:lastColumn="0" w:noHBand="0" w:noVBand="1"/>
      </w:tblPr>
      <w:tblGrid>
        <w:gridCol w:w="3963"/>
      </w:tblGrid>
      <w:tr w:rsidR="00F04C47">
        <w:trPr>
          <w:trHeight w:val="3826"/>
        </w:trPr>
        <w:tc>
          <w:tcPr>
            <w:tcW w:w="3963" w:type="dxa"/>
            <w:tcBorders>
              <w:top w:val="nil"/>
              <w:left w:val="nil"/>
              <w:bottom w:val="nil"/>
              <w:right w:val="nil"/>
            </w:tcBorders>
            <w:shd w:val="clear" w:color="auto" w:fill="D1E9F5"/>
          </w:tcPr>
          <w:p w:rsidR="00F04C47" w:rsidRDefault="006058C6">
            <w:pPr>
              <w:spacing w:after="0" w:line="225" w:lineRule="auto"/>
              <w:ind w:right="-8"/>
              <w:jc w:val="both"/>
            </w:pPr>
            <w:r>
              <w:rPr>
                <w:rFonts w:ascii="Times New Roman" w:eastAsia="Times New Roman" w:hAnsi="Times New Roman" w:cs="Times New Roman"/>
                <w:color w:val="181717"/>
                <w:sz w:val="23"/>
              </w:rPr>
              <w:t>presence of specifically competent operators trained to work in a multidisciplinary team and to guarantee to all services,  incl</w:t>
            </w:r>
            <w:r>
              <w:rPr>
                <w:rFonts w:ascii="Times New Roman" w:eastAsia="Times New Roman" w:hAnsi="Times New Roman" w:cs="Times New Roman"/>
                <w:color w:val="181717"/>
                <w:sz w:val="23"/>
              </w:rPr>
              <w:t>uding those of a hospital nature, the possibility of using effective linguistic-cultural mediation interventions, where necessary;</w:t>
            </w:r>
          </w:p>
          <w:p w:rsidR="00F04C47" w:rsidRDefault="006058C6">
            <w:pPr>
              <w:spacing w:after="0"/>
              <w:ind w:right="-6"/>
              <w:jc w:val="both"/>
            </w:pPr>
            <w:r>
              <w:rPr>
                <w:rFonts w:ascii="Times New Roman" w:eastAsia="Times New Roman" w:hAnsi="Times New Roman" w:cs="Times New Roman"/>
                <w:color w:val="181717"/>
                <w:sz w:val="23"/>
              </w:rPr>
              <w:t>with regards to mass media communication, We ask for accuracy and correctness in the reporting of health issues in relation t</w:t>
            </w:r>
            <w:r>
              <w:rPr>
                <w:rFonts w:ascii="Times New Roman" w:eastAsia="Times New Roman" w:hAnsi="Times New Roman" w:cs="Times New Roman"/>
                <w:color w:val="181717"/>
                <w:sz w:val="23"/>
              </w:rPr>
              <w:t>o migration and its stakeholders, in the belief that respect for the deontological principles of the journalistic profession contributes to removing prejudices and false alarmism and to produce a more comprehensive and less stereotypical conscious vision</w:t>
            </w:r>
            <w:r>
              <w:rPr>
                <w:rFonts w:ascii="Times New Roman" w:eastAsia="Times New Roman" w:hAnsi="Times New Roman" w:cs="Times New Roman"/>
                <w:color w:val="181717"/>
                <w:sz w:val="21"/>
                <w:vertAlign w:val="superscript"/>
              </w:rPr>
              <w:footnoteReference w:id="5"/>
            </w:r>
            <w:r>
              <w:rPr>
                <w:rFonts w:ascii="Times New Roman" w:eastAsia="Times New Roman" w:hAnsi="Times New Roman" w:cs="Times New Roman"/>
                <w:color w:val="181717"/>
                <w:sz w:val="23"/>
              </w:rPr>
              <w:t>.</w:t>
            </w:r>
            <w:r>
              <w:rPr>
                <w:rFonts w:ascii="Times New Roman" w:eastAsia="Times New Roman" w:hAnsi="Times New Roman" w:cs="Times New Roman"/>
                <w:color w:val="181717"/>
                <w:sz w:val="23"/>
              </w:rPr>
              <w:t xml:space="preserve"> </w:t>
            </w:r>
          </w:p>
        </w:tc>
      </w:tr>
    </w:tbl>
    <w:tbl>
      <w:tblPr>
        <w:tblStyle w:val="TableGrid"/>
        <w:tblpPr w:vertAnchor="text" w:tblpY="-3973"/>
        <w:tblOverlap w:val="never"/>
        <w:tblW w:w="3969" w:type="dxa"/>
        <w:tblInd w:w="0" w:type="dxa"/>
        <w:tblCellMar>
          <w:top w:w="0" w:type="dxa"/>
          <w:left w:w="0" w:type="dxa"/>
          <w:bottom w:w="0" w:type="dxa"/>
          <w:right w:w="0" w:type="dxa"/>
        </w:tblCellMar>
        <w:tblLook w:val="04A0" w:firstRow="1" w:lastRow="0" w:firstColumn="1" w:lastColumn="0" w:noHBand="0" w:noVBand="1"/>
      </w:tblPr>
      <w:tblGrid>
        <w:gridCol w:w="3969"/>
      </w:tblGrid>
      <w:tr w:rsidR="00F04C47">
        <w:trPr>
          <w:trHeight w:val="8995"/>
        </w:trPr>
        <w:tc>
          <w:tcPr>
            <w:tcW w:w="3969" w:type="dxa"/>
            <w:tcBorders>
              <w:top w:val="nil"/>
              <w:left w:val="nil"/>
              <w:bottom w:val="nil"/>
              <w:right w:val="nil"/>
            </w:tcBorders>
            <w:shd w:val="clear" w:color="auto" w:fill="D1E9F5"/>
          </w:tcPr>
          <w:p w:rsidR="00F04C47" w:rsidRDefault="006058C6">
            <w:pPr>
              <w:spacing w:after="0" w:line="225" w:lineRule="auto"/>
              <w:ind w:right="-2"/>
              <w:jc w:val="both"/>
            </w:pPr>
            <w:r>
              <w:rPr>
                <w:rFonts w:ascii="Times New Roman" w:eastAsia="Times New Roman" w:hAnsi="Times New Roman" w:cs="Times New Roman"/>
                <w:color w:val="181717"/>
                <w:sz w:val="23"/>
              </w:rPr>
              <w:t>future health threats, in a more timely and homogeneous manner, also through optimal use of funding connected to the ‘PNRR- Piano Nazionale di Ripresa e Resistenza”(National Recovery and Resilience Plan)</w:t>
            </w:r>
            <w:r>
              <w:rPr>
                <w:rFonts w:ascii="Times New Roman" w:eastAsia="Times New Roman" w:hAnsi="Times New Roman" w:cs="Times New Roman"/>
                <w:color w:val="181717"/>
                <w:sz w:val="21"/>
                <w:vertAlign w:val="superscript"/>
              </w:rPr>
              <w:footnoteReference w:id="6"/>
            </w:r>
            <w:r>
              <w:rPr>
                <w:rFonts w:ascii="Times New Roman" w:eastAsia="Times New Roman" w:hAnsi="Times New Roman" w:cs="Times New Roman"/>
                <w:color w:val="181717"/>
                <w:sz w:val="23"/>
              </w:rPr>
              <w:t>; in particular, with reference to the provisions for the ’Case della comunità” (Community Houses), it is proposed that these include integrated primary care services also intended for foreigners in possession of an STP or ENI card;</w:t>
            </w:r>
          </w:p>
          <w:p w:rsidR="00F04C47" w:rsidRDefault="006058C6">
            <w:pPr>
              <w:spacing w:after="0" w:line="225" w:lineRule="auto"/>
              <w:ind w:right="-3" w:firstLine="283"/>
              <w:jc w:val="both"/>
            </w:pPr>
            <w:r>
              <w:rPr>
                <w:rFonts w:ascii="Times New Roman" w:eastAsia="Times New Roman" w:hAnsi="Times New Roman" w:cs="Times New Roman"/>
                <w:color w:val="181717"/>
                <w:sz w:val="23"/>
              </w:rPr>
              <w:t>We urge specific attent</w:t>
            </w:r>
            <w:r>
              <w:rPr>
                <w:rFonts w:ascii="Times New Roman" w:eastAsia="Times New Roman" w:hAnsi="Times New Roman" w:cs="Times New Roman"/>
                <w:color w:val="181717"/>
                <w:sz w:val="23"/>
              </w:rPr>
              <w:t>ion to the promotion and adoption of all those interventions and actions capable of supporting the ‘cultural competence’ of the public Health System (as well as of its individual operators) in the direction of a progressive and more widespread ‘sensitivity</w:t>
            </w:r>
            <w:r>
              <w:rPr>
                <w:rFonts w:ascii="Times New Roman" w:eastAsia="Times New Roman" w:hAnsi="Times New Roman" w:cs="Times New Roman"/>
                <w:color w:val="181717"/>
                <w:sz w:val="23"/>
              </w:rPr>
              <w:t xml:space="preserve"> to differences’, reinforcing, in particular, the use of the system mediation approach. In particular, we request:</w:t>
            </w:r>
          </w:p>
          <w:p w:rsidR="00F04C47" w:rsidRDefault="006058C6">
            <w:pPr>
              <w:numPr>
                <w:ilvl w:val="0"/>
                <w:numId w:val="6"/>
              </w:numPr>
              <w:spacing w:after="0" w:line="225" w:lineRule="auto"/>
              <w:ind w:right="-1" w:firstLine="283"/>
              <w:jc w:val="both"/>
            </w:pPr>
            <w:r>
              <w:rPr>
                <w:rFonts w:ascii="Times New Roman" w:eastAsia="Times New Roman" w:hAnsi="Times New Roman" w:cs="Times New Roman"/>
                <w:color w:val="181717"/>
                <w:sz w:val="23"/>
              </w:rPr>
              <w:t>the promotion of pre-  and post-graduate training and continuous education training initiatives and courses for professionals by Universities</w:t>
            </w:r>
            <w:r>
              <w:rPr>
                <w:rFonts w:ascii="Times New Roman" w:eastAsia="Times New Roman" w:hAnsi="Times New Roman" w:cs="Times New Roman"/>
                <w:color w:val="181717"/>
                <w:sz w:val="23"/>
              </w:rPr>
              <w:t xml:space="preserve"> and Health Authorities through inclusion in their Compulsory Training Plans / CME - which have a perspective of cultural pluralism with a cross-cultural approach and a multi-professional and multi-disciplinary system/framework;</w:t>
            </w:r>
          </w:p>
          <w:p w:rsidR="00F04C47" w:rsidRDefault="006058C6">
            <w:pPr>
              <w:numPr>
                <w:ilvl w:val="0"/>
                <w:numId w:val="6"/>
              </w:numPr>
              <w:spacing w:after="0"/>
              <w:ind w:right="-1" w:firstLine="283"/>
              <w:jc w:val="both"/>
            </w:pPr>
            <w:r>
              <w:rPr>
                <w:rFonts w:ascii="Times New Roman" w:eastAsia="Times New Roman" w:hAnsi="Times New Roman" w:cs="Times New Roman"/>
                <w:color w:val="181717"/>
                <w:sz w:val="23"/>
              </w:rPr>
              <w:t>a special focus on the need</w:t>
            </w:r>
            <w:r>
              <w:rPr>
                <w:rFonts w:ascii="Times New Roman" w:eastAsia="Times New Roman" w:hAnsi="Times New Roman" w:cs="Times New Roman"/>
                <w:color w:val="181717"/>
                <w:sz w:val="23"/>
              </w:rPr>
              <w:t xml:space="preserve"> to guarantee - with particular reference to certain services such as counselling and mental health services, also with regards to the possibility of taking charge of people who have suffered intentional violence - the </w:t>
            </w:r>
          </w:p>
        </w:tc>
      </w:tr>
    </w:tbl>
    <w:p w:rsidR="00F04C47" w:rsidRDefault="006058C6">
      <w:pPr>
        <w:spacing w:after="420" w:line="225" w:lineRule="auto"/>
        <w:ind w:right="170" w:firstLine="273"/>
        <w:jc w:val="both"/>
      </w:pPr>
      <w:r>
        <w:rPr>
          <w:rFonts w:ascii="Times New Roman" w:eastAsia="Times New Roman" w:hAnsi="Times New Roman" w:cs="Times New Roman"/>
          <w:color w:val="181717"/>
          <w:sz w:val="23"/>
        </w:rPr>
        <w:t>This Declaration is addressed to the world of politics and in particular to those who play the role of decision-makers, to public institutions with particular reference to those operating in the health and social sectors, to universities and other training</w:t>
      </w:r>
      <w:r>
        <w:rPr>
          <w:rFonts w:ascii="Times New Roman" w:eastAsia="Times New Roman" w:hAnsi="Times New Roman" w:cs="Times New Roman"/>
          <w:color w:val="181717"/>
          <w:sz w:val="23"/>
        </w:rPr>
        <w:t xml:space="preserve"> agencies, to research organizations and institutions, to scientific societies, to professional bodies and colleges, to the mass media, migrant communities, civil society organizations as well as individuals interested in promoting equity in health and car</w:t>
      </w:r>
      <w:r>
        <w:rPr>
          <w:rFonts w:ascii="Times New Roman" w:eastAsia="Times New Roman" w:hAnsi="Times New Roman" w:cs="Times New Roman"/>
          <w:color w:val="181717"/>
          <w:sz w:val="23"/>
        </w:rPr>
        <w:t>e.</w:t>
      </w:r>
    </w:p>
    <w:p w:rsidR="00F04C47" w:rsidRDefault="006058C6">
      <w:pPr>
        <w:spacing w:after="98"/>
        <w:jc w:val="center"/>
      </w:pPr>
      <w:r>
        <w:rPr>
          <w:rFonts w:ascii="Times New Roman" w:eastAsia="Times New Roman" w:hAnsi="Times New Roman" w:cs="Times New Roman"/>
          <w:b/>
          <w:color w:val="181717"/>
          <w:sz w:val="20"/>
        </w:rPr>
        <w:t>Riassunto</w:t>
      </w:r>
    </w:p>
    <w:p w:rsidR="00F04C47" w:rsidRDefault="006058C6">
      <w:pPr>
        <w:spacing w:after="204" w:line="249" w:lineRule="auto"/>
      </w:pPr>
      <w:r>
        <w:rPr>
          <w:rFonts w:ascii="Times New Roman" w:eastAsia="Times New Roman" w:hAnsi="Times New Roman" w:cs="Times New Roman"/>
          <w:b/>
          <w:i/>
          <w:color w:val="181717"/>
          <w:sz w:val="19"/>
        </w:rPr>
        <w:t>La Carta di Erice 58 su ‘La salute dei migranti. Una sfida di equità per il sistema sanitario pubblico’</w:t>
      </w:r>
    </w:p>
    <w:p w:rsidR="00F04C47" w:rsidRDefault="006058C6">
      <w:pPr>
        <w:spacing w:after="80" w:line="249" w:lineRule="auto"/>
        <w:ind w:firstLine="170"/>
        <w:jc w:val="both"/>
      </w:pPr>
      <w:r>
        <w:rPr>
          <w:rFonts w:ascii="Times New Roman" w:eastAsia="Times New Roman" w:hAnsi="Times New Roman" w:cs="Times New Roman"/>
          <w:color w:val="181717"/>
          <w:sz w:val="18"/>
        </w:rPr>
        <w:t xml:space="preserve">La Carta di Erice 58, dal titolo ‘La Salute dei Migranti: una sfida di Equità per il Sistema Sanitario Pubblico’, </w:t>
      </w:r>
    </w:p>
    <w:p w:rsidR="00F04C47" w:rsidRDefault="00F04C47">
      <w:pPr>
        <w:sectPr w:rsidR="00F04C47">
          <w:type w:val="continuous"/>
          <w:pgSz w:w="10205" w:h="14740"/>
          <w:pgMar w:top="1701" w:right="850" w:bottom="1177" w:left="850" w:header="720" w:footer="720" w:gutter="0"/>
          <w:cols w:space="720"/>
        </w:sectPr>
      </w:pPr>
    </w:p>
    <w:p w:rsidR="00F04C47" w:rsidRDefault="006058C6">
      <w:pPr>
        <w:spacing w:after="80" w:line="249" w:lineRule="auto"/>
        <w:ind w:left="10" w:hanging="10"/>
        <w:jc w:val="both"/>
      </w:pPr>
      <w:r>
        <w:rPr>
          <w:rFonts w:ascii="Times New Roman" w:eastAsia="Times New Roman" w:hAnsi="Times New Roman" w:cs="Times New Roman"/>
          <w:color w:val="181717"/>
          <w:sz w:val="18"/>
        </w:rPr>
        <w:t xml:space="preserve">è stata </w:t>
      </w:r>
      <w:r>
        <w:rPr>
          <w:rFonts w:ascii="Times New Roman" w:eastAsia="Times New Roman" w:hAnsi="Times New Roman" w:cs="Times New Roman"/>
          <w:color w:val="181717"/>
          <w:sz w:val="18"/>
        </w:rPr>
        <w:t>approvata all’unanimità a conclusione del 58° Corso residenziale della Scuola Superiore di Epidemiologia e Medicina Preventiva ‘Giuseppe D’Alessandro’ intitolato ‘La Salute dei Migranti: una sfida di Equità per il Sistema Sanitario Pubblico. Aspetti epidem</w:t>
      </w:r>
      <w:r>
        <w:rPr>
          <w:rFonts w:ascii="Times New Roman" w:eastAsia="Times New Roman" w:hAnsi="Times New Roman" w:cs="Times New Roman"/>
          <w:color w:val="181717"/>
          <w:sz w:val="18"/>
        </w:rPr>
        <w:t>iologici, clinico-relazionali, normativi, organizzativi, formativi e di comunicazione pubblica a livello internazionale, nazionale e locale’, che ha avuto luogo dal 28 marzo al 2 aprile 2022 ad Erice (TP), presso la Fondazione e Centro per la Cultura Scien</w:t>
      </w:r>
      <w:r>
        <w:rPr>
          <w:rFonts w:ascii="Times New Roman" w:eastAsia="Times New Roman" w:hAnsi="Times New Roman" w:cs="Times New Roman"/>
          <w:color w:val="181717"/>
          <w:sz w:val="18"/>
        </w:rPr>
        <w:t>tifica ‘Ettore Majorana’. Il Corso è stato promosso dalla Società Italiana di Medicina delle Migrazioni (S.I.M.M.) e dalla Società Italiana di Igiene, Medicina Preventiva e Sanità Pubblica (SItI), con la collaborazione e il patrocinio dell’Istituto Superio</w:t>
      </w:r>
      <w:r>
        <w:rPr>
          <w:rFonts w:ascii="Times New Roman" w:eastAsia="Times New Roman" w:hAnsi="Times New Roman" w:cs="Times New Roman"/>
          <w:color w:val="181717"/>
          <w:sz w:val="18"/>
        </w:rPr>
        <w:t>re di Sanità (ISS). Vi hanno partecipato circa 80 discenti (in prevalenza medici in formazione specialistica in ‘Igiene e Medicina Preventiva’ ma anche altri professionisti dei servizi sanitari), la cui età media è risultata essere di 37 anni; sulla base d</w:t>
      </w:r>
      <w:r>
        <w:rPr>
          <w:rFonts w:ascii="Times New Roman" w:eastAsia="Times New Roman" w:hAnsi="Times New Roman" w:cs="Times New Roman"/>
          <w:color w:val="181717"/>
          <w:sz w:val="18"/>
        </w:rPr>
        <w:t>ella provenienza territoriale sono risultate rappresentate 13 delle 20 regioni italiane. Durante l’intensa esperienza didattica, che si è articolata in 18 lezioni frontali (con 20 docenti di ambito bio-medico, socio-antropologico e giornalistico) e 7 sessi</w:t>
      </w:r>
      <w:r>
        <w:rPr>
          <w:rFonts w:ascii="Times New Roman" w:eastAsia="Times New Roman" w:hAnsi="Times New Roman" w:cs="Times New Roman"/>
          <w:color w:val="181717"/>
          <w:sz w:val="18"/>
        </w:rPr>
        <w:t xml:space="preserve">oni di lavori di gruppo (supportati da 4 tutor d’aula oltre che dai docenti) con modalità ‘blended learning’, sono state individuate e discusse le diverse dimensioni e criticità correlate alla possibilità di garantire alle persone straniere / migranti, su </w:t>
      </w:r>
      <w:r>
        <w:rPr>
          <w:rFonts w:ascii="Times New Roman" w:eastAsia="Times New Roman" w:hAnsi="Times New Roman" w:cs="Times New Roman"/>
          <w:color w:val="181717"/>
          <w:sz w:val="18"/>
        </w:rPr>
        <w:t>tutto il territorio nazionale, politiche sanitarie realmente inclusive in un’ottica di ‘equità nella salute’. Ciò ha permesso di elaborare, da parte di un gruppo di redazione ristretto, il documento di base che, nell’ultima sessione del Corso, è stato disc</w:t>
      </w:r>
      <w:r>
        <w:rPr>
          <w:rFonts w:ascii="Times New Roman" w:eastAsia="Times New Roman" w:hAnsi="Times New Roman" w:cs="Times New Roman"/>
          <w:color w:val="181717"/>
          <w:sz w:val="18"/>
        </w:rPr>
        <w:t>usso e modificato da parte di tutti partecipanti nella versione della ‘Carta di Erice 58’ qui presentata.</w:t>
      </w:r>
    </w:p>
    <w:p w:rsidR="00F04C47" w:rsidRDefault="006058C6">
      <w:pPr>
        <w:pStyle w:val="Heading2"/>
        <w:spacing w:after="194"/>
        <w:ind w:left="-5"/>
      </w:pPr>
      <w:r>
        <w:t>References</w:t>
      </w:r>
    </w:p>
    <w:p w:rsidR="00F04C47" w:rsidRDefault="006058C6">
      <w:pPr>
        <w:numPr>
          <w:ilvl w:val="0"/>
          <w:numId w:val="4"/>
        </w:numPr>
        <w:spacing w:after="3" w:line="249" w:lineRule="auto"/>
        <w:ind w:right="-12" w:hanging="283"/>
        <w:jc w:val="both"/>
      </w:pPr>
      <w:r>
        <w:rPr>
          <w:rFonts w:ascii="Times New Roman" w:eastAsia="Times New Roman" w:hAnsi="Times New Roman" w:cs="Times New Roman"/>
          <w:color w:val="181717"/>
          <w:sz w:val="19"/>
        </w:rPr>
        <w:t>McAuliffe M, Triandafyllidou A, eds. World Migration Report 2022. Geneva: International Organization for Migration (IOM); 2021.</w:t>
      </w:r>
    </w:p>
    <w:p w:rsidR="00F04C47" w:rsidRDefault="006058C6">
      <w:pPr>
        <w:numPr>
          <w:ilvl w:val="0"/>
          <w:numId w:val="4"/>
        </w:numPr>
        <w:spacing w:after="3" w:line="249" w:lineRule="auto"/>
        <w:ind w:right="-12" w:hanging="283"/>
        <w:jc w:val="both"/>
      </w:pPr>
      <w:r>
        <w:rPr>
          <w:rFonts w:ascii="Times New Roman" w:eastAsia="Times New Roman" w:hAnsi="Times New Roman" w:cs="Times New Roman"/>
          <w:color w:val="181717"/>
          <w:sz w:val="19"/>
        </w:rPr>
        <w:t>Internation</w:t>
      </w:r>
      <w:r>
        <w:rPr>
          <w:rFonts w:ascii="Times New Roman" w:eastAsia="Times New Roman" w:hAnsi="Times New Roman" w:cs="Times New Roman"/>
          <w:color w:val="181717"/>
          <w:sz w:val="19"/>
        </w:rPr>
        <w:t>al Organization for Migration (Davies AA, Basten A, Frattini C, eds.). Migration: a Social Determinant of the Health of Migrants. Geneva, 2009. Available on: https://ec.europa. eu/migrant-integration/sites/default/files/200910/docl_9914_392596992.pdf [Last</w:t>
      </w:r>
      <w:r>
        <w:rPr>
          <w:rFonts w:ascii="Times New Roman" w:eastAsia="Times New Roman" w:hAnsi="Times New Roman" w:cs="Times New Roman"/>
          <w:color w:val="181717"/>
          <w:sz w:val="19"/>
        </w:rPr>
        <w:t xml:space="preserve"> accessed: 2023 June 30].</w:t>
      </w:r>
    </w:p>
    <w:p w:rsidR="00F04C47" w:rsidRDefault="006058C6">
      <w:pPr>
        <w:numPr>
          <w:ilvl w:val="0"/>
          <w:numId w:val="4"/>
        </w:numPr>
        <w:spacing w:after="3" w:line="249" w:lineRule="auto"/>
        <w:ind w:right="-12" w:hanging="283"/>
        <w:jc w:val="both"/>
      </w:pPr>
      <w:r>
        <w:rPr>
          <w:rFonts w:ascii="Times New Roman" w:eastAsia="Times New Roman" w:hAnsi="Times New Roman" w:cs="Times New Roman"/>
          <w:color w:val="181717"/>
          <w:sz w:val="19"/>
        </w:rPr>
        <w:t>World Health Organization. Regional Office for Europe. Report on the health of refugees and migrants in the WHO European Region: No public health without refugee and migrant health. World Health Organization. Regional Office for E</w:t>
      </w:r>
      <w:r>
        <w:rPr>
          <w:rFonts w:ascii="Times New Roman" w:eastAsia="Times New Roman" w:hAnsi="Times New Roman" w:cs="Times New Roman"/>
          <w:color w:val="181717"/>
          <w:sz w:val="19"/>
        </w:rPr>
        <w:t>urope, 2018. Available on: https://apps.who.int/ iris/handle/10665/311347 [Last accessed: 2023 June 30].</w:t>
      </w:r>
    </w:p>
    <w:p w:rsidR="00F04C47" w:rsidRDefault="006058C6">
      <w:pPr>
        <w:numPr>
          <w:ilvl w:val="0"/>
          <w:numId w:val="4"/>
        </w:numPr>
        <w:spacing w:after="3" w:line="249" w:lineRule="auto"/>
        <w:ind w:right="-12" w:hanging="283"/>
        <w:jc w:val="both"/>
      </w:pPr>
      <w:r>
        <w:rPr>
          <w:rFonts w:ascii="Times New Roman" w:eastAsia="Times New Roman" w:hAnsi="Times New Roman" w:cs="Times New Roman"/>
          <w:color w:val="181717"/>
          <w:sz w:val="19"/>
        </w:rPr>
        <w:t>Various Authors.</w:t>
      </w:r>
      <w:r>
        <w:rPr>
          <w:rFonts w:ascii="Times New Roman" w:eastAsia="Times New Roman" w:hAnsi="Times New Roman" w:cs="Times New Roman"/>
          <w:b/>
          <w:color w:val="181717"/>
          <w:sz w:val="19"/>
        </w:rPr>
        <w:t xml:space="preserve"> </w:t>
      </w:r>
      <w:r>
        <w:rPr>
          <w:rFonts w:ascii="Times New Roman" w:eastAsia="Times New Roman" w:hAnsi="Times New Roman" w:cs="Times New Roman"/>
          <w:color w:val="181717"/>
          <w:sz w:val="19"/>
        </w:rPr>
        <w:t>Dichiarazione di Erice sull’equità e il diritto alla salute, 26 marzo 2001. Available on: http://web.tiscali.it/medicinademocratica/bo</w:t>
      </w:r>
      <w:r>
        <w:rPr>
          <w:rFonts w:ascii="Times New Roman" w:eastAsia="Times New Roman" w:hAnsi="Times New Roman" w:cs="Times New Roman"/>
          <w:color w:val="181717"/>
          <w:sz w:val="19"/>
        </w:rPr>
        <w:t>llettino2/erice.htm [Last accessed: 2023 June 30].</w:t>
      </w:r>
    </w:p>
    <w:p w:rsidR="00F04C47" w:rsidRDefault="006058C6">
      <w:pPr>
        <w:numPr>
          <w:ilvl w:val="0"/>
          <w:numId w:val="4"/>
        </w:numPr>
        <w:spacing w:after="3" w:line="249" w:lineRule="auto"/>
        <w:ind w:right="-12" w:hanging="283"/>
        <w:jc w:val="both"/>
      </w:pPr>
      <w:r>
        <w:rPr>
          <w:rFonts w:ascii="Times New Roman" w:eastAsia="Times New Roman" w:hAnsi="Times New Roman" w:cs="Times New Roman"/>
          <w:color w:val="181717"/>
          <w:sz w:val="19"/>
        </w:rPr>
        <w:t>World Health Organization (WHO). World Health Assembly, 72. Promoting the Health of Refugees and Migrants. Draft Global Action Plan 2019-2023: Report by the Director-General. World Health Organization; 2019. Available on: https://apps.who.int/iris/handle/1</w:t>
      </w:r>
      <w:r>
        <w:rPr>
          <w:rFonts w:ascii="Times New Roman" w:eastAsia="Times New Roman" w:hAnsi="Times New Roman" w:cs="Times New Roman"/>
          <w:color w:val="181717"/>
          <w:sz w:val="19"/>
        </w:rPr>
        <w:t>0665/328690 [Last accessed: 2023 May 16].</w:t>
      </w:r>
    </w:p>
    <w:p w:rsidR="00F04C47" w:rsidRDefault="00F04C47">
      <w:pPr>
        <w:sectPr w:rsidR="00F04C47">
          <w:type w:val="continuous"/>
          <w:pgSz w:w="10205" w:h="14740"/>
          <w:pgMar w:top="1440" w:right="848" w:bottom="1440" w:left="1020" w:header="720" w:footer="720" w:gutter="0"/>
          <w:cols w:num="2" w:space="349"/>
        </w:sectPr>
      </w:pPr>
    </w:p>
    <w:p w:rsidR="00F04C47" w:rsidRDefault="006058C6">
      <w:pPr>
        <w:spacing w:after="80" w:line="249" w:lineRule="auto"/>
        <w:ind w:left="10" w:hanging="10"/>
        <w:jc w:val="both"/>
      </w:pPr>
      <w:r>
        <w:rPr>
          <w:rFonts w:ascii="Times New Roman" w:eastAsia="Times New Roman" w:hAnsi="Times New Roman" w:cs="Times New Roman"/>
          <w:color w:val="181717"/>
          <w:sz w:val="18"/>
        </w:rPr>
        <w:t>Corresponding Author: Maurizio Marceca, Department of Public Health and Infectious Diseases, Sapienza University of Rome, P.le Aldo Moro 5, 00185 Rome, Italy e-mail: maurizio.marceca@uniroma1.it</w:t>
      </w:r>
    </w:p>
    <w:sectPr w:rsidR="00F04C47">
      <w:type w:val="continuous"/>
      <w:pgSz w:w="10205" w:h="14740"/>
      <w:pgMar w:top="1440" w:right="857" w:bottom="4623"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058C6">
      <w:pPr>
        <w:spacing w:after="0" w:line="240" w:lineRule="auto"/>
      </w:pPr>
      <w:r>
        <w:separator/>
      </w:r>
    </w:p>
  </w:endnote>
  <w:endnote w:type="continuationSeparator" w:id="0">
    <w:p w:rsidR="00000000" w:rsidRDefault="0060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C47" w:rsidRDefault="006058C6">
      <w:pPr>
        <w:spacing w:after="0" w:line="266" w:lineRule="auto"/>
        <w:ind w:right="45"/>
        <w:jc w:val="both"/>
      </w:pPr>
      <w:r>
        <w:separator/>
      </w:r>
    </w:p>
  </w:footnote>
  <w:footnote w:type="continuationSeparator" w:id="0">
    <w:p w:rsidR="00F04C47" w:rsidRDefault="006058C6">
      <w:pPr>
        <w:spacing w:after="0" w:line="266" w:lineRule="auto"/>
        <w:ind w:right="45"/>
        <w:jc w:val="both"/>
      </w:pPr>
      <w:r>
        <w:continuationSeparator/>
      </w:r>
    </w:p>
  </w:footnote>
  <w:footnote w:id="1">
    <w:p w:rsidR="00F04C47" w:rsidRDefault="006058C6">
      <w:pPr>
        <w:pStyle w:val="footnotedescription"/>
        <w:spacing w:line="266" w:lineRule="auto"/>
      </w:pPr>
      <w:r>
        <w:rPr>
          <w:rStyle w:val="footnotemark"/>
        </w:rPr>
        <w:footnoteRef/>
      </w:r>
      <w:r>
        <w:t xml:space="preserve"> World Health Organization. Regional Office for Europe (WHO-EU). Collection and Integration of Data of Refugee and Migrant Health in the WHO European Region. Technical Guidance. World Health Organization; 2020. Available on: https://apps.who.int/iris/bit</w:t>
      </w:r>
      <w:r>
        <w:t>stream/handle/10665/337694/9789289055369-eng.pdf [Last accessed: 2023 May 16].</w:t>
      </w:r>
    </w:p>
  </w:footnote>
  <w:footnote w:id="2">
    <w:p w:rsidR="00F04C47" w:rsidRDefault="006058C6">
      <w:pPr>
        <w:pStyle w:val="footnotedescription"/>
        <w:spacing w:line="257" w:lineRule="auto"/>
        <w:ind w:right="46"/>
      </w:pPr>
      <w:r>
        <w:rPr>
          <w:rStyle w:val="footnotemark"/>
        </w:rPr>
        <w:footnoteRef/>
      </w:r>
      <w:r>
        <w:t xml:space="preserve"> Prime Minister Decree of 12 January 2017. </w:t>
      </w:r>
      <w:r>
        <w:rPr>
          <w:i/>
        </w:rPr>
        <w:t>Definizione e aggiornamento dei livelli essenziali di assistenza, di cui all’articolo 1, comma 7, del decreto legislativo 30 dicembre</w:t>
      </w:r>
      <w:r>
        <w:rPr>
          <w:i/>
        </w:rPr>
        <w:t xml:space="preserve"> 1992, n. 502. </w:t>
      </w:r>
      <w:r>
        <w:t>Official Gazette of the Italian Republic No. 65, 18 Mar 2017 (Ordinary Supplement no. 15). Available on: https://www.gazzettaufficiale.it/eli/gu/2017/03/18/65/ so/15/sg/pdf [Last accessed: 2023 May 16].</w:t>
      </w:r>
    </w:p>
  </w:footnote>
  <w:footnote w:id="3">
    <w:p w:rsidR="00F04C47" w:rsidRDefault="006058C6">
      <w:pPr>
        <w:pStyle w:val="footnotedescription"/>
        <w:spacing w:line="254" w:lineRule="auto"/>
      </w:pPr>
      <w:r>
        <w:rPr>
          <w:rStyle w:val="footnotemark"/>
        </w:rPr>
        <w:footnoteRef/>
      </w:r>
      <w:r>
        <w:t xml:space="preserve"> In particular, the following documen</w:t>
      </w:r>
      <w:r>
        <w:t>ts/Guidelines are recalled (those approved with specific Agreements of the State-Regions Conference or Unified Conference are marked *): INMP-ISS-SIMM: “</w:t>
      </w:r>
      <w:r>
        <w:rPr>
          <w:i/>
        </w:rPr>
        <w:t>Border controls. The frontier of controls</w:t>
      </w:r>
      <w:r>
        <w:t>”* (2017). Available on: https://www.salute.gov.it/imgs/C_17_p</w:t>
      </w:r>
      <w:r>
        <w:t>ubblicazioni_2624_allegato.pdf [Last accessed: 2023 May 16]; INMP-ISS-SIMM: “</w:t>
      </w:r>
      <w:r>
        <w:rPr>
          <w:i/>
        </w:rPr>
        <w:t>Tuberculosis control of immigrants to Italy</w:t>
      </w:r>
      <w:r>
        <w:t>” (2018, update 2023). Available on: https://www.inmp.it/lg/LG_Tubercolosi.pdf [Last accessed: 2023 May 16]; Ministry of Health: “</w:t>
      </w:r>
      <w:r>
        <w:rPr>
          <w:i/>
        </w:rPr>
        <w:t>Guidel</w:t>
      </w:r>
      <w:r>
        <w:rPr>
          <w:i/>
        </w:rPr>
        <w:t>ines for the planning of assistance and rehabilitation interventions as well as for the treatment of mental disorders of holders of refugee status and subsidiary protection status who have suffered torture, rape or other serious forms of psychological, phy</w:t>
      </w:r>
      <w:r>
        <w:rPr>
          <w:i/>
        </w:rPr>
        <w:t>sical or sexual violence</w:t>
      </w:r>
      <w:r>
        <w:t>”* (2017). Available on: https://www.salute.gov.it/imgs/C_17_pubblicazioni_2599_al-</w:t>
      </w:r>
    </w:p>
  </w:footnote>
  <w:footnote w:id="4">
    <w:p w:rsidR="00F04C47" w:rsidRDefault="006058C6">
      <w:pPr>
        <w:pStyle w:val="footnotedescription"/>
        <w:spacing w:line="284" w:lineRule="auto"/>
        <w:ind w:left="170" w:right="0"/>
      </w:pPr>
      <w:r>
        <w:rPr>
          <w:rStyle w:val="footnotemark"/>
        </w:rPr>
        <w:footnoteRef/>
      </w:r>
      <w:r>
        <w:t xml:space="preserve"> Here we specifically mention the ‘core variables’ according to the WHO: country of birth; country of citizenship; month and year of arrival; count</w:t>
      </w:r>
      <w:r>
        <w:t>ry of birth of both parents.</w:t>
      </w:r>
    </w:p>
  </w:footnote>
  <w:footnote w:id="5">
    <w:p w:rsidR="00F04C47" w:rsidRDefault="006058C6">
      <w:pPr>
        <w:pStyle w:val="footnotedescription"/>
        <w:spacing w:line="260" w:lineRule="auto"/>
        <w:ind w:right="169"/>
      </w:pPr>
      <w:r>
        <w:rPr>
          <w:rStyle w:val="footnotemark"/>
        </w:rPr>
        <w:footnoteRef/>
      </w:r>
      <w:r>
        <w:t xml:space="preserve"> See the ‘Deontological Protocol for correct information on immigration issues’, signed by the Na</w:t>
      </w:r>
      <w:r>
        <w:t>tional Council of the Order of Journalists (CNOG) and the National Federation of the Italian Press (FNSI) in June 2008, the implementation of which is supervised by the Association ‘</w:t>
      </w:r>
      <w:r>
        <w:rPr>
          <w:i/>
        </w:rPr>
        <w:t>Carta di Roma</w:t>
      </w:r>
      <w:r>
        <w:t>’. Available on: https://www.cartadiroma.org/ cosa-e-la-carta</w:t>
      </w:r>
      <w:r>
        <w:t>-di-roma/codice-deontologico/ [Last accessed: 2023 May 16].</w:t>
      </w:r>
    </w:p>
  </w:footnote>
  <w:footnote w:id="6">
    <w:p w:rsidR="00F04C47" w:rsidRDefault="006058C6">
      <w:pPr>
        <w:pStyle w:val="footnotedescription"/>
        <w:spacing w:line="256" w:lineRule="auto"/>
        <w:ind w:right="170"/>
      </w:pPr>
      <w:r>
        <w:rPr>
          <w:rStyle w:val="footnotemark"/>
        </w:rPr>
        <w:footnoteRef/>
      </w:r>
      <w:r>
        <w:t xml:space="preserve"> The National Recovery and Resilience Plan (Piano Nazionale di Ripresa e Resilienza, PNRR) was emanded in 2021 and is part of the Recovery and Resilience Facility (RRF)- programme part of the New Generation EU - which aims to </w:t>
      </w:r>
      <w:r>
        <w:t xml:space="preserve">repair the social and economic damage caused by the COVID-19 Pandemic. The Italian Recovery and Resistance Plan has 6 main missions, one of these missions is “HEALTH” which focuses on modernizing and strengthening the Italian health system reinforcing its </w:t>
      </w:r>
      <w:r>
        <w:t>digitalization and enhancing equal access to health care. Available on: https:// www.governo.it/sites/governo.it/files/PNRR.pdf [Last accessed: 2023 May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47" w:rsidRDefault="006058C6">
    <w:pPr>
      <w:tabs>
        <w:tab w:val="center" w:pos="298"/>
        <w:tab w:val="right" w:pos="8509"/>
      </w:tabs>
      <w:spacing w:after="0"/>
    </w:pPr>
    <w:r>
      <w:tab/>
    </w:r>
    <w:r>
      <w:fldChar w:fldCharType="begin"/>
    </w:r>
    <w:r>
      <w:instrText xml:space="preserve"> PAGE   \* MERGEFORMAT </w:instrText>
    </w:r>
    <w:r>
      <w:fldChar w:fldCharType="separate"/>
    </w:r>
    <w:r>
      <w:rPr>
        <w:rFonts w:ascii="Times New Roman" w:eastAsia="Times New Roman" w:hAnsi="Times New Roman" w:cs="Times New Roman"/>
        <w:color w:val="181717"/>
        <w:sz w:val="17"/>
      </w:rPr>
      <w:t>708</w:t>
    </w:r>
    <w:r>
      <w:rPr>
        <w:rFonts w:ascii="Times New Roman" w:eastAsia="Times New Roman" w:hAnsi="Times New Roman" w:cs="Times New Roman"/>
        <w:color w:val="181717"/>
        <w:sz w:val="17"/>
      </w:rPr>
      <w:fldChar w:fldCharType="end"/>
    </w:r>
    <w:r>
      <w:rPr>
        <w:rFonts w:ascii="Times New Roman" w:eastAsia="Times New Roman" w:hAnsi="Times New Roman" w:cs="Times New Roman"/>
        <w:color w:val="181717"/>
        <w:sz w:val="17"/>
      </w:rPr>
      <w:tab/>
    </w:r>
    <w:r>
      <w:rPr>
        <w:rFonts w:ascii="Times New Roman" w:eastAsia="Times New Roman" w:hAnsi="Times New Roman" w:cs="Times New Roman"/>
        <w:color w:val="181717"/>
        <w:sz w:val="19"/>
      </w:rPr>
      <w:t>M. Marceca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47" w:rsidRDefault="006058C6">
    <w:pPr>
      <w:tabs>
        <w:tab w:val="right" w:pos="8509"/>
      </w:tabs>
      <w:spacing w:after="0"/>
    </w:pPr>
    <w:r>
      <w:rPr>
        <w:rFonts w:ascii="Times New Roman" w:eastAsia="Times New Roman" w:hAnsi="Times New Roman" w:cs="Times New Roman"/>
        <w:color w:val="181717"/>
        <w:sz w:val="19"/>
      </w:rPr>
      <w:t>The Eric</w:t>
    </w:r>
    <w:r>
      <w:rPr>
        <w:rFonts w:ascii="Times New Roman" w:eastAsia="Times New Roman" w:hAnsi="Times New Roman" w:cs="Times New Roman"/>
        <w:color w:val="181717"/>
        <w:sz w:val="19"/>
      </w:rPr>
      <w:t>e 58 Charter on the health of migrants</w:t>
    </w:r>
    <w:r>
      <w:rPr>
        <w:rFonts w:ascii="Times New Roman" w:eastAsia="Times New Roman" w:hAnsi="Times New Roman" w:cs="Times New Roman"/>
        <w:color w:val="181717"/>
        <w:sz w:val="19"/>
      </w:rPr>
      <w:tab/>
    </w:r>
    <w:r>
      <w:fldChar w:fldCharType="begin"/>
    </w:r>
    <w:r>
      <w:instrText xml:space="preserve"> PAGE   \* MERGEFORMAT </w:instrText>
    </w:r>
    <w:r>
      <w:fldChar w:fldCharType="separate"/>
    </w:r>
    <w:r>
      <w:rPr>
        <w:rFonts w:ascii="Times New Roman" w:eastAsia="Times New Roman" w:hAnsi="Times New Roman" w:cs="Times New Roman"/>
        <w:color w:val="181717"/>
        <w:sz w:val="17"/>
      </w:rPr>
      <w:t>709</w:t>
    </w:r>
    <w:r>
      <w:rPr>
        <w:rFonts w:ascii="Times New Roman" w:eastAsia="Times New Roman" w:hAnsi="Times New Roman" w:cs="Times New Roman"/>
        <w:color w:val="181717"/>
        <w:sz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C47" w:rsidRDefault="00F04C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C79"/>
    <w:multiLevelType w:val="hybridMultilevel"/>
    <w:tmpl w:val="617C4BB0"/>
    <w:lvl w:ilvl="0" w:tplc="327897A6">
      <w:start w:val="1"/>
      <w:numFmt w:val="decimal"/>
      <w:lvlText w:val="%1"/>
      <w:lvlJc w:val="left"/>
      <w:pPr>
        <w:ind w:left="124"/>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1" w:tplc="4E52FB10">
      <w:start w:val="1"/>
      <w:numFmt w:val="lowerLetter"/>
      <w:lvlText w:val="%2"/>
      <w:lvlJc w:val="left"/>
      <w:pPr>
        <w:ind w:left="108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2" w:tplc="357EA02E">
      <w:start w:val="1"/>
      <w:numFmt w:val="lowerRoman"/>
      <w:lvlText w:val="%3"/>
      <w:lvlJc w:val="left"/>
      <w:pPr>
        <w:ind w:left="180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3" w:tplc="B608E1A8">
      <w:start w:val="1"/>
      <w:numFmt w:val="decimal"/>
      <w:lvlText w:val="%4"/>
      <w:lvlJc w:val="left"/>
      <w:pPr>
        <w:ind w:left="252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4" w:tplc="83E6894E">
      <w:start w:val="1"/>
      <w:numFmt w:val="lowerLetter"/>
      <w:lvlText w:val="%5"/>
      <w:lvlJc w:val="left"/>
      <w:pPr>
        <w:ind w:left="324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5" w:tplc="F6DE531E">
      <w:start w:val="1"/>
      <w:numFmt w:val="lowerRoman"/>
      <w:lvlText w:val="%6"/>
      <w:lvlJc w:val="left"/>
      <w:pPr>
        <w:ind w:left="396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6" w:tplc="28BE53AC">
      <w:start w:val="1"/>
      <w:numFmt w:val="decimal"/>
      <w:lvlText w:val="%7"/>
      <w:lvlJc w:val="left"/>
      <w:pPr>
        <w:ind w:left="468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7" w:tplc="5E8EC068">
      <w:start w:val="1"/>
      <w:numFmt w:val="lowerLetter"/>
      <w:lvlText w:val="%8"/>
      <w:lvlJc w:val="left"/>
      <w:pPr>
        <w:ind w:left="540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lvl w:ilvl="8" w:tplc="E46A5EB8">
      <w:start w:val="1"/>
      <w:numFmt w:val="lowerRoman"/>
      <w:lvlText w:val="%9"/>
      <w:lvlJc w:val="left"/>
      <w:pPr>
        <w:ind w:left="6120"/>
      </w:pPr>
      <w:rPr>
        <w:rFonts w:ascii="Times New Roman" w:eastAsia="Times New Roman" w:hAnsi="Times New Roman" w:cs="Times New Roman"/>
        <w:b w:val="0"/>
        <w:i/>
        <w:iCs/>
        <w:strike w:val="0"/>
        <w:dstrike w:val="0"/>
        <w:color w:val="181717"/>
        <w:sz w:val="15"/>
        <w:szCs w:val="15"/>
        <w:u w:val="none" w:color="000000"/>
        <w:bdr w:val="none" w:sz="0" w:space="0" w:color="auto"/>
        <w:shd w:val="clear" w:color="auto" w:fill="auto"/>
        <w:vertAlign w:val="superscript"/>
      </w:rPr>
    </w:lvl>
  </w:abstractNum>
  <w:abstractNum w:abstractNumId="1" w15:restartNumberingAfterBreak="0">
    <w:nsid w:val="129642E9"/>
    <w:multiLevelType w:val="hybridMultilevel"/>
    <w:tmpl w:val="46B0450C"/>
    <w:lvl w:ilvl="0" w:tplc="2DB60FEE">
      <w:start w:val="1"/>
      <w:numFmt w:val="decimal"/>
      <w:lvlText w:val="%1."/>
      <w:lvlJc w:val="left"/>
      <w:pPr>
        <w:ind w:left="382"/>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1" w:tplc="6C543E62">
      <w:start w:val="1"/>
      <w:numFmt w:val="lowerLetter"/>
      <w:lvlText w:val="%2"/>
      <w:lvlJc w:val="left"/>
      <w:pPr>
        <w:ind w:left="119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2" w:tplc="C1DCC7AC">
      <w:start w:val="1"/>
      <w:numFmt w:val="lowerRoman"/>
      <w:lvlText w:val="%3"/>
      <w:lvlJc w:val="left"/>
      <w:pPr>
        <w:ind w:left="191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3" w:tplc="B38ECBEE">
      <w:start w:val="1"/>
      <w:numFmt w:val="decimal"/>
      <w:lvlText w:val="%4"/>
      <w:lvlJc w:val="left"/>
      <w:pPr>
        <w:ind w:left="263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4" w:tplc="096CDAAC">
      <w:start w:val="1"/>
      <w:numFmt w:val="lowerLetter"/>
      <w:lvlText w:val="%5"/>
      <w:lvlJc w:val="left"/>
      <w:pPr>
        <w:ind w:left="335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5" w:tplc="AE3A90E4">
      <w:start w:val="1"/>
      <w:numFmt w:val="lowerRoman"/>
      <w:lvlText w:val="%6"/>
      <w:lvlJc w:val="left"/>
      <w:pPr>
        <w:ind w:left="407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6" w:tplc="F01E6B26">
      <w:start w:val="1"/>
      <w:numFmt w:val="decimal"/>
      <w:lvlText w:val="%7"/>
      <w:lvlJc w:val="left"/>
      <w:pPr>
        <w:ind w:left="479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7" w:tplc="3000EDB4">
      <w:start w:val="1"/>
      <w:numFmt w:val="lowerLetter"/>
      <w:lvlText w:val="%8"/>
      <w:lvlJc w:val="left"/>
      <w:pPr>
        <w:ind w:left="551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lvl w:ilvl="8" w:tplc="A1B87E38">
      <w:start w:val="1"/>
      <w:numFmt w:val="lowerRoman"/>
      <w:lvlText w:val="%9"/>
      <w:lvlJc w:val="left"/>
      <w:pPr>
        <w:ind w:left="6234"/>
      </w:pPr>
      <w:rPr>
        <w:rFonts w:ascii="Times New Roman" w:eastAsia="Times New Roman" w:hAnsi="Times New Roman" w:cs="Times New Roman"/>
        <w:b w:val="0"/>
        <w:i w:val="0"/>
        <w:strike w:val="0"/>
        <w:dstrike w:val="0"/>
        <w:color w:val="181717"/>
        <w:sz w:val="19"/>
        <w:szCs w:val="19"/>
        <w:u w:val="none" w:color="000000"/>
        <w:bdr w:val="none" w:sz="0" w:space="0" w:color="auto"/>
        <w:shd w:val="clear" w:color="auto" w:fill="auto"/>
        <w:vertAlign w:val="baseline"/>
      </w:rPr>
    </w:lvl>
  </w:abstractNum>
  <w:abstractNum w:abstractNumId="2" w15:restartNumberingAfterBreak="0">
    <w:nsid w:val="16CF38BB"/>
    <w:multiLevelType w:val="hybridMultilevel"/>
    <w:tmpl w:val="3DB0E654"/>
    <w:lvl w:ilvl="0" w:tplc="D7D6E0B0">
      <w:start w:val="1"/>
      <w:numFmt w:val="bullet"/>
      <w:lvlText w:val="•"/>
      <w:lvlJc w:val="left"/>
      <w:pPr>
        <w:ind w:left="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1" w:tplc="6B5AE95E">
      <w:start w:val="1"/>
      <w:numFmt w:val="bullet"/>
      <w:lvlText w:val="o"/>
      <w:lvlJc w:val="left"/>
      <w:pPr>
        <w:ind w:left="13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457285BC">
      <w:start w:val="1"/>
      <w:numFmt w:val="bullet"/>
      <w:lvlText w:val="▪"/>
      <w:lvlJc w:val="left"/>
      <w:pPr>
        <w:ind w:left="20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EDAC5E84">
      <w:start w:val="1"/>
      <w:numFmt w:val="bullet"/>
      <w:lvlText w:val="•"/>
      <w:lvlJc w:val="left"/>
      <w:pPr>
        <w:ind w:left="28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429A6B24">
      <w:start w:val="1"/>
      <w:numFmt w:val="bullet"/>
      <w:lvlText w:val="o"/>
      <w:lvlJc w:val="left"/>
      <w:pPr>
        <w:ind w:left="352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E11A3BA8">
      <w:start w:val="1"/>
      <w:numFmt w:val="bullet"/>
      <w:lvlText w:val="▪"/>
      <w:lvlJc w:val="left"/>
      <w:pPr>
        <w:ind w:left="424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2822EF8C">
      <w:start w:val="1"/>
      <w:numFmt w:val="bullet"/>
      <w:lvlText w:val="•"/>
      <w:lvlJc w:val="left"/>
      <w:pPr>
        <w:ind w:left="49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8D6CD7C2">
      <w:start w:val="1"/>
      <w:numFmt w:val="bullet"/>
      <w:lvlText w:val="o"/>
      <w:lvlJc w:val="left"/>
      <w:pPr>
        <w:ind w:left="56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E4BEEDE0">
      <w:start w:val="1"/>
      <w:numFmt w:val="bullet"/>
      <w:lvlText w:val="▪"/>
      <w:lvlJc w:val="left"/>
      <w:pPr>
        <w:ind w:left="64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3" w15:restartNumberingAfterBreak="0">
    <w:nsid w:val="31AB3506"/>
    <w:multiLevelType w:val="hybridMultilevel"/>
    <w:tmpl w:val="DE7E1AA6"/>
    <w:lvl w:ilvl="0" w:tplc="9DF2DDDA">
      <w:start w:val="1"/>
      <w:numFmt w:val="bullet"/>
      <w:lvlText w:val="-"/>
      <w:lvlJc w:val="left"/>
      <w:pPr>
        <w:ind w:left="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1" w:tplc="B0924606">
      <w:start w:val="1"/>
      <w:numFmt w:val="bullet"/>
      <w:lvlText w:val="o"/>
      <w:lvlJc w:val="left"/>
      <w:pPr>
        <w:ind w:left="13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D84C7716">
      <w:start w:val="1"/>
      <w:numFmt w:val="bullet"/>
      <w:lvlText w:val="▪"/>
      <w:lvlJc w:val="left"/>
      <w:pPr>
        <w:ind w:left="20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16B46D52">
      <w:start w:val="1"/>
      <w:numFmt w:val="bullet"/>
      <w:lvlText w:val="•"/>
      <w:lvlJc w:val="left"/>
      <w:pPr>
        <w:ind w:left="28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799A866E">
      <w:start w:val="1"/>
      <w:numFmt w:val="bullet"/>
      <w:lvlText w:val="o"/>
      <w:lvlJc w:val="left"/>
      <w:pPr>
        <w:ind w:left="352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A5F2CAA4">
      <w:start w:val="1"/>
      <w:numFmt w:val="bullet"/>
      <w:lvlText w:val="▪"/>
      <w:lvlJc w:val="left"/>
      <w:pPr>
        <w:ind w:left="424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867A66EC">
      <w:start w:val="1"/>
      <w:numFmt w:val="bullet"/>
      <w:lvlText w:val="•"/>
      <w:lvlJc w:val="left"/>
      <w:pPr>
        <w:ind w:left="49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03FAD92E">
      <w:start w:val="1"/>
      <w:numFmt w:val="bullet"/>
      <w:lvlText w:val="o"/>
      <w:lvlJc w:val="left"/>
      <w:pPr>
        <w:ind w:left="56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5DA0260C">
      <w:start w:val="1"/>
      <w:numFmt w:val="bullet"/>
      <w:lvlText w:val="▪"/>
      <w:lvlJc w:val="left"/>
      <w:pPr>
        <w:ind w:left="64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4" w15:restartNumberingAfterBreak="0">
    <w:nsid w:val="4D2B3DEA"/>
    <w:multiLevelType w:val="hybridMultilevel"/>
    <w:tmpl w:val="D6C6EB08"/>
    <w:lvl w:ilvl="0" w:tplc="159A0306">
      <w:start w:val="1"/>
      <w:numFmt w:val="bullet"/>
      <w:lvlText w:val="-"/>
      <w:lvlJc w:val="left"/>
      <w:pPr>
        <w:ind w:left="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1" w:tplc="7F183152">
      <w:start w:val="1"/>
      <w:numFmt w:val="bullet"/>
      <w:lvlText w:val="o"/>
      <w:lvlJc w:val="left"/>
      <w:pPr>
        <w:ind w:left="13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867CD6E4">
      <w:start w:val="1"/>
      <w:numFmt w:val="bullet"/>
      <w:lvlText w:val="▪"/>
      <w:lvlJc w:val="left"/>
      <w:pPr>
        <w:ind w:left="20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A29CD518">
      <w:start w:val="1"/>
      <w:numFmt w:val="bullet"/>
      <w:lvlText w:val="•"/>
      <w:lvlJc w:val="left"/>
      <w:pPr>
        <w:ind w:left="28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B2A2A6A0">
      <w:start w:val="1"/>
      <w:numFmt w:val="bullet"/>
      <w:lvlText w:val="o"/>
      <w:lvlJc w:val="left"/>
      <w:pPr>
        <w:ind w:left="352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BB9CE6EE">
      <w:start w:val="1"/>
      <w:numFmt w:val="bullet"/>
      <w:lvlText w:val="▪"/>
      <w:lvlJc w:val="left"/>
      <w:pPr>
        <w:ind w:left="424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C752223A">
      <w:start w:val="1"/>
      <w:numFmt w:val="bullet"/>
      <w:lvlText w:val="•"/>
      <w:lvlJc w:val="left"/>
      <w:pPr>
        <w:ind w:left="49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53A8C724">
      <w:start w:val="1"/>
      <w:numFmt w:val="bullet"/>
      <w:lvlText w:val="o"/>
      <w:lvlJc w:val="left"/>
      <w:pPr>
        <w:ind w:left="56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6590B11A">
      <w:start w:val="1"/>
      <w:numFmt w:val="bullet"/>
      <w:lvlText w:val="▪"/>
      <w:lvlJc w:val="left"/>
      <w:pPr>
        <w:ind w:left="64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5" w15:restartNumberingAfterBreak="0">
    <w:nsid w:val="57CF609E"/>
    <w:multiLevelType w:val="hybridMultilevel"/>
    <w:tmpl w:val="AB349002"/>
    <w:lvl w:ilvl="0" w:tplc="079E9CDE">
      <w:start w:val="1"/>
      <w:numFmt w:val="decimal"/>
      <w:lvlText w:val="%1."/>
      <w:lvlJc w:val="left"/>
      <w:pPr>
        <w:ind w:left="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1" w:tplc="7E8AFF0E">
      <w:start w:val="1"/>
      <w:numFmt w:val="lowerLetter"/>
      <w:lvlText w:val="%2"/>
      <w:lvlJc w:val="left"/>
      <w:pPr>
        <w:ind w:left="13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6AA82054">
      <w:start w:val="1"/>
      <w:numFmt w:val="lowerRoman"/>
      <w:lvlText w:val="%3"/>
      <w:lvlJc w:val="left"/>
      <w:pPr>
        <w:ind w:left="20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BDDAF724">
      <w:start w:val="1"/>
      <w:numFmt w:val="decimal"/>
      <w:lvlText w:val="%4"/>
      <w:lvlJc w:val="left"/>
      <w:pPr>
        <w:ind w:left="28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C0D06680">
      <w:start w:val="1"/>
      <w:numFmt w:val="lowerLetter"/>
      <w:lvlText w:val="%5"/>
      <w:lvlJc w:val="left"/>
      <w:pPr>
        <w:ind w:left="352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B23665F8">
      <w:start w:val="1"/>
      <w:numFmt w:val="lowerRoman"/>
      <w:lvlText w:val="%6"/>
      <w:lvlJc w:val="left"/>
      <w:pPr>
        <w:ind w:left="424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473077C2">
      <w:start w:val="1"/>
      <w:numFmt w:val="decimal"/>
      <w:lvlText w:val="%7"/>
      <w:lvlJc w:val="left"/>
      <w:pPr>
        <w:ind w:left="496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D63406C4">
      <w:start w:val="1"/>
      <w:numFmt w:val="lowerLetter"/>
      <w:lvlText w:val="%8"/>
      <w:lvlJc w:val="left"/>
      <w:pPr>
        <w:ind w:left="568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0FC6758E">
      <w:start w:val="1"/>
      <w:numFmt w:val="lowerRoman"/>
      <w:lvlText w:val="%9"/>
      <w:lvlJc w:val="left"/>
      <w:pPr>
        <w:ind w:left="6403"/>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47"/>
    <w:rsid w:val="006058C6"/>
    <w:rsid w:val="00F0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1E8B2-76A0-4F60-9AC3-4606D75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1E9F5"/>
      <w:spacing w:after="200"/>
      <w:ind w:left="1"/>
      <w:outlineLvl w:val="0"/>
    </w:pPr>
    <w:rPr>
      <w:rFonts w:ascii="Times New Roman" w:eastAsia="Times New Roman" w:hAnsi="Times New Roman" w:cs="Times New Roman"/>
      <w:b/>
      <w:color w:val="181717"/>
      <w:sz w:val="24"/>
    </w:rPr>
  </w:style>
  <w:style w:type="paragraph" w:styleId="Heading2">
    <w:name w:val="heading 2"/>
    <w:next w:val="Normal"/>
    <w:link w:val="Heading2Char"/>
    <w:uiPriority w:val="9"/>
    <w:unhideWhenUsed/>
    <w:qFormat/>
    <w:pPr>
      <w:keepNext/>
      <w:keepLines/>
      <w:spacing w:after="98"/>
      <w:ind w:left="180" w:hanging="10"/>
      <w:outlineLvl w:val="1"/>
    </w:pPr>
    <w:rPr>
      <w:rFonts w:ascii="Times New Roman" w:eastAsia="Times New Roman" w:hAnsi="Times New Roman" w:cs="Times New Roman"/>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4"/>
    </w:rPr>
  </w:style>
  <w:style w:type="paragraph" w:customStyle="1" w:styleId="footnotedescription">
    <w:name w:val="footnote description"/>
    <w:next w:val="Normal"/>
    <w:link w:val="footnotedescriptionChar"/>
    <w:hidden/>
    <w:pPr>
      <w:spacing w:after="0"/>
      <w:ind w:right="45"/>
      <w:jc w:val="both"/>
    </w:pPr>
    <w:rPr>
      <w:rFonts w:ascii="Times New Roman" w:eastAsia="Times New Roman" w:hAnsi="Times New Roman" w:cs="Times New Roman"/>
      <w:color w:val="181717"/>
      <w:sz w:val="18"/>
    </w:rPr>
  </w:style>
  <w:style w:type="character" w:customStyle="1" w:styleId="footnotedescriptionChar">
    <w:name w:val="footnote description Char"/>
    <w:link w:val="footnotedescription"/>
    <w:rPr>
      <w:rFonts w:ascii="Times New Roman" w:eastAsia="Times New Roman" w:hAnsi="Times New Roman" w:cs="Times New Roman"/>
      <w:color w:val="181717"/>
      <w:sz w:val="18"/>
    </w:rPr>
  </w:style>
  <w:style w:type="character" w:customStyle="1" w:styleId="Heading2Char">
    <w:name w:val="Heading 2 Char"/>
    <w:link w:val="Heading2"/>
    <w:rPr>
      <w:rFonts w:ascii="Times New Roman" w:eastAsia="Times New Roman" w:hAnsi="Times New Roman" w:cs="Times New Roman"/>
      <w:b/>
      <w:color w:val="181717"/>
      <w:sz w:val="20"/>
    </w:rPr>
  </w:style>
  <w:style w:type="character" w:customStyle="1" w:styleId="footnotemark">
    <w:name w:val="footnote mark"/>
    <w:hidden/>
    <w:rPr>
      <w:rFonts w:ascii="Times New Roman" w:eastAsia="Times New Roman" w:hAnsi="Times New Roman" w:cs="Times New Roman"/>
      <w:color w:val="181717"/>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4137</Words>
  <Characters>23582</Characters>
  <Application>Microsoft Office Word</Application>
  <DocSecurity>4</DocSecurity>
  <Lines>196</Lines>
  <Paragraphs>55</Paragraphs>
  <ScaleCrop>false</ScaleCrop>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2025-07-31T10:48:00Z</dcterms:created>
  <dcterms:modified xsi:type="dcterms:W3CDTF">2025-07-31T10:48:00Z</dcterms:modified>
</cp:coreProperties>
</file>